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1874EAED" w:rsidR="00864C2A" w:rsidRPr="0057059A" w:rsidRDefault="00D76E29" w:rsidP="0057059A">
      <w:pPr>
        <w:pStyle w:val="Title"/>
        <w:rPr>
          <w:rFonts w:ascii="Arial" w:hAnsi="Arial" w:cs="Arial"/>
          <w:b/>
          <w:color w:val="4472C4" w:themeColor="accent5"/>
          <w:sz w:val="48"/>
        </w:rPr>
      </w:pPr>
      <w:r w:rsidRPr="0057059A">
        <w:rPr>
          <w:rFonts w:ascii="Arial" w:hAnsi="Arial" w:cs="Arial"/>
          <w:b/>
          <w:noProof/>
          <w:color w:val="4472C4" w:themeColor="accent5"/>
          <w:sz w:val="28"/>
          <w:lang w:eastAsia="en-GB"/>
        </w:rPr>
        <w:drawing>
          <wp:anchor distT="0" distB="0" distL="114300" distR="114300" simplePos="0" relativeHeight="251661312" behindDoc="1" locked="0" layoutInCell="1" allowOverlap="1" wp14:anchorId="66E65C0A" wp14:editId="560DC7A4">
            <wp:simplePos x="0" y="0"/>
            <wp:positionH relativeFrom="column">
              <wp:posOffset>5397003</wp:posOffset>
            </wp:positionH>
            <wp:positionV relativeFrom="paragraph">
              <wp:posOffset>-305628</wp:posOffset>
            </wp:positionV>
            <wp:extent cx="988559" cy="952396"/>
            <wp:effectExtent l="19050" t="19050" r="21590" b="19685"/>
            <wp:wrapNone/>
            <wp:docPr id="5" name="Picture 6" descr="Allerda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Allerdale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4463" cy="958084"/>
                    </a:xfrm>
                    <a:prstGeom prst="rect">
                      <a:avLst/>
                    </a:prstGeom>
                    <a:noFill/>
                    <a:ln w="19050">
                      <a:solidFill>
                        <a:srgbClr val="FFFFFF"/>
                      </a:solidFill>
                      <a:miter lim="800000"/>
                      <a:headEnd/>
                      <a:tailEnd/>
                    </a:ln>
                    <a:extLst/>
                  </pic:spPr>
                </pic:pic>
              </a:graphicData>
            </a:graphic>
            <wp14:sizeRelH relativeFrom="margin">
              <wp14:pctWidth>0</wp14:pctWidth>
            </wp14:sizeRelH>
            <wp14:sizeRelV relativeFrom="margin">
              <wp14:pctHeight>0</wp14:pctHeight>
            </wp14:sizeRelV>
          </wp:anchor>
        </w:drawing>
      </w:r>
      <w:r w:rsidR="00222EC5" w:rsidRPr="4C10ACC7">
        <w:rPr>
          <w:rFonts w:ascii="Arial" w:hAnsi="Arial" w:cs="Arial"/>
          <w:b/>
          <w:bCs/>
          <w:color w:val="4472C4" w:themeColor="accent5"/>
          <w:sz w:val="48"/>
          <w:szCs w:val="48"/>
        </w:rPr>
        <w:t>C</w:t>
      </w:r>
      <w:r w:rsidR="00D17EF1" w:rsidRPr="4C10ACC7">
        <w:rPr>
          <w:rFonts w:ascii="Arial" w:hAnsi="Arial" w:cs="Arial"/>
          <w:b/>
          <w:bCs/>
          <w:color w:val="4472C4" w:themeColor="accent5"/>
          <w:sz w:val="48"/>
          <w:szCs w:val="48"/>
        </w:rPr>
        <w:t>orporate performance report</w:t>
      </w:r>
    </w:p>
    <w:p w14:paraId="6C2FD49F" w14:textId="77777777" w:rsidR="00D17EF1" w:rsidRPr="00222EC5" w:rsidRDefault="00D17EF1" w:rsidP="00603042">
      <w:pPr>
        <w:spacing w:after="0" w:line="240" w:lineRule="auto"/>
        <w:ind w:right="-720"/>
        <w:rPr>
          <w:rFonts w:ascii="Arial" w:hAnsi="Arial" w:cs="Arial"/>
          <w:color w:val="4472C4" w:themeColor="accent5"/>
          <w:sz w:val="24"/>
        </w:rPr>
      </w:pPr>
    </w:p>
    <w:p w14:paraId="4490EF19" w14:textId="009BA777" w:rsidR="00D17EF1" w:rsidRPr="0057059A" w:rsidRDefault="00C564E3" w:rsidP="0057059A">
      <w:pPr>
        <w:pStyle w:val="Heading1"/>
        <w:jc w:val="left"/>
        <w:rPr>
          <w:b/>
          <w:i w:val="0"/>
          <w:color w:val="4472C4" w:themeColor="accent5"/>
          <w:sz w:val="28"/>
        </w:rPr>
      </w:pPr>
      <w:r w:rsidRPr="0057059A">
        <w:rPr>
          <w:b/>
          <w:i w:val="0"/>
          <w:color w:val="4472C4" w:themeColor="accent5"/>
          <w:sz w:val="28"/>
        </w:rPr>
        <w:t>Q</w:t>
      </w:r>
      <w:r w:rsidR="00D17EF1" w:rsidRPr="0057059A">
        <w:rPr>
          <w:b/>
          <w:i w:val="0"/>
          <w:color w:val="4472C4" w:themeColor="accent5"/>
          <w:sz w:val="28"/>
        </w:rPr>
        <w:t>uarter</w:t>
      </w:r>
      <w:r w:rsidR="007262A2" w:rsidRPr="0057059A">
        <w:rPr>
          <w:b/>
          <w:i w:val="0"/>
          <w:color w:val="4472C4" w:themeColor="accent5"/>
          <w:sz w:val="28"/>
        </w:rPr>
        <w:t xml:space="preserve"> </w:t>
      </w:r>
      <w:r w:rsidR="005C315D">
        <w:rPr>
          <w:b/>
          <w:i w:val="0"/>
          <w:color w:val="4472C4" w:themeColor="accent5"/>
          <w:sz w:val="28"/>
        </w:rPr>
        <w:t>2</w:t>
      </w:r>
      <w:r w:rsidR="00D17EF1" w:rsidRPr="0057059A">
        <w:rPr>
          <w:b/>
          <w:i w:val="0"/>
          <w:color w:val="4472C4" w:themeColor="accent5"/>
          <w:sz w:val="28"/>
        </w:rPr>
        <w:t xml:space="preserve"> </w:t>
      </w:r>
      <w:r w:rsidR="00222EC5" w:rsidRPr="0057059A">
        <w:rPr>
          <w:b/>
          <w:i w:val="0"/>
          <w:color w:val="4472C4" w:themeColor="accent5"/>
          <w:sz w:val="28"/>
        </w:rPr>
        <w:t xml:space="preserve">2020/21 </w:t>
      </w:r>
    </w:p>
    <w:p w14:paraId="677618D3" w14:textId="77777777" w:rsidR="00D17EF1" w:rsidRDefault="00D17EF1" w:rsidP="00603042">
      <w:pPr>
        <w:spacing w:after="0" w:line="240" w:lineRule="auto"/>
        <w:ind w:right="-720"/>
        <w:rPr>
          <w:rFonts w:ascii="Arial" w:hAnsi="Arial" w:cs="Arial"/>
          <w:sz w:val="24"/>
        </w:rPr>
      </w:pPr>
    </w:p>
    <w:p w14:paraId="01188DDC" w14:textId="18CC4AD5" w:rsidR="00011DFC" w:rsidRPr="00A57C11" w:rsidRDefault="00D17EF1" w:rsidP="00603042">
      <w:pPr>
        <w:spacing w:after="0" w:line="240" w:lineRule="auto"/>
        <w:ind w:right="-720"/>
        <w:rPr>
          <w:rFonts w:ascii="Arial" w:hAnsi="Arial" w:cs="Arial"/>
          <w:sz w:val="24"/>
          <w:szCs w:val="23"/>
        </w:rPr>
      </w:pPr>
      <w:r w:rsidRPr="00A57C11">
        <w:rPr>
          <w:rFonts w:ascii="Arial" w:hAnsi="Arial" w:cs="Arial"/>
          <w:sz w:val="24"/>
          <w:szCs w:val="23"/>
        </w:rPr>
        <w:t xml:space="preserve">This </w:t>
      </w:r>
      <w:r w:rsidR="0096022D" w:rsidRPr="00A57C11">
        <w:rPr>
          <w:rFonts w:ascii="Arial" w:hAnsi="Arial" w:cs="Arial"/>
          <w:sz w:val="24"/>
          <w:szCs w:val="23"/>
        </w:rPr>
        <w:t xml:space="preserve">performance report summarises our performance during the </w:t>
      </w:r>
      <w:r w:rsidR="005C315D">
        <w:rPr>
          <w:rFonts w:ascii="Arial" w:hAnsi="Arial" w:cs="Arial"/>
          <w:sz w:val="24"/>
          <w:szCs w:val="23"/>
        </w:rPr>
        <w:t>second</w:t>
      </w:r>
      <w:r w:rsidR="00222EC5">
        <w:rPr>
          <w:rFonts w:ascii="Arial" w:hAnsi="Arial" w:cs="Arial"/>
          <w:sz w:val="24"/>
          <w:szCs w:val="23"/>
        </w:rPr>
        <w:t xml:space="preserve"> quarter of 2020/21</w:t>
      </w:r>
      <w:r w:rsidR="0096022D" w:rsidRPr="00A57C11">
        <w:rPr>
          <w:rFonts w:ascii="Arial" w:hAnsi="Arial" w:cs="Arial"/>
          <w:sz w:val="24"/>
          <w:szCs w:val="23"/>
        </w:rPr>
        <w:t xml:space="preserve"> covering the period from 1 </w:t>
      </w:r>
      <w:r w:rsidR="005C315D">
        <w:rPr>
          <w:rFonts w:ascii="Arial" w:hAnsi="Arial" w:cs="Arial"/>
          <w:sz w:val="24"/>
          <w:szCs w:val="23"/>
        </w:rPr>
        <w:t>July</w:t>
      </w:r>
      <w:r w:rsidR="00222EC5">
        <w:rPr>
          <w:rFonts w:ascii="Arial" w:hAnsi="Arial" w:cs="Arial"/>
          <w:sz w:val="24"/>
          <w:szCs w:val="23"/>
        </w:rPr>
        <w:t xml:space="preserve"> </w:t>
      </w:r>
      <w:r w:rsidR="0096022D" w:rsidRPr="00A57C11">
        <w:rPr>
          <w:rFonts w:ascii="Arial" w:hAnsi="Arial" w:cs="Arial"/>
          <w:sz w:val="24"/>
          <w:szCs w:val="23"/>
        </w:rPr>
        <w:t>to 3</w:t>
      </w:r>
      <w:r w:rsidR="00222EC5">
        <w:rPr>
          <w:rFonts w:ascii="Arial" w:hAnsi="Arial" w:cs="Arial"/>
          <w:sz w:val="24"/>
          <w:szCs w:val="23"/>
        </w:rPr>
        <w:t xml:space="preserve">0 </w:t>
      </w:r>
      <w:r w:rsidR="005C315D">
        <w:rPr>
          <w:rFonts w:ascii="Arial" w:hAnsi="Arial" w:cs="Arial"/>
          <w:sz w:val="24"/>
          <w:szCs w:val="23"/>
        </w:rPr>
        <w:t>September</w:t>
      </w:r>
      <w:r w:rsidR="00222EC5">
        <w:rPr>
          <w:rFonts w:ascii="Arial" w:hAnsi="Arial" w:cs="Arial"/>
          <w:sz w:val="24"/>
          <w:szCs w:val="23"/>
        </w:rPr>
        <w:t xml:space="preserve"> 2020</w:t>
      </w:r>
      <w:r w:rsidR="00D853A6">
        <w:rPr>
          <w:rFonts w:ascii="Arial" w:hAnsi="Arial" w:cs="Arial"/>
          <w:sz w:val="24"/>
          <w:szCs w:val="23"/>
        </w:rPr>
        <w:t xml:space="preserve">. </w:t>
      </w:r>
    </w:p>
    <w:p w14:paraId="497C9915" w14:textId="43703BA5" w:rsidR="00011DFC" w:rsidRDefault="00011DFC" w:rsidP="00603042">
      <w:pPr>
        <w:spacing w:after="0" w:line="240" w:lineRule="auto"/>
        <w:ind w:right="-720"/>
        <w:rPr>
          <w:rFonts w:ascii="Arial" w:hAnsi="Arial" w:cs="Arial"/>
          <w:sz w:val="24"/>
        </w:rPr>
      </w:pPr>
    </w:p>
    <w:p w14:paraId="69BFE52E" w14:textId="77777777" w:rsidR="00B115D8" w:rsidRDefault="00B115D8" w:rsidP="00603042">
      <w:pPr>
        <w:spacing w:after="0" w:line="240" w:lineRule="auto"/>
        <w:ind w:right="-720"/>
        <w:rPr>
          <w:rFonts w:ascii="Arial" w:hAnsi="Arial" w:cs="Arial"/>
          <w:sz w:val="24"/>
        </w:rPr>
      </w:pPr>
    </w:p>
    <w:p w14:paraId="56D8661A" w14:textId="3D629D6D" w:rsidR="00011DFC" w:rsidRPr="0057059A" w:rsidRDefault="00011DFC" w:rsidP="0057059A">
      <w:pPr>
        <w:pStyle w:val="Heading2"/>
        <w:rPr>
          <w:rFonts w:ascii="Arial" w:hAnsi="Arial" w:cs="Arial"/>
          <w:b/>
          <w:color w:val="auto"/>
          <w:sz w:val="28"/>
          <w:szCs w:val="28"/>
        </w:rPr>
      </w:pPr>
      <w:r w:rsidRPr="0057059A">
        <w:rPr>
          <w:rFonts w:ascii="Arial" w:hAnsi="Arial" w:cs="Arial"/>
          <w:b/>
          <w:color w:val="auto"/>
          <w:sz w:val="28"/>
          <w:szCs w:val="28"/>
        </w:rPr>
        <w:t>Performance overview</w:t>
      </w:r>
    </w:p>
    <w:p w14:paraId="71FDDA71" w14:textId="13A985B6" w:rsidR="007262A2" w:rsidRDefault="007262A2" w:rsidP="00603042">
      <w:pPr>
        <w:spacing w:after="0" w:line="240" w:lineRule="auto"/>
        <w:ind w:right="-720"/>
        <w:rPr>
          <w:rFonts w:ascii="Arial" w:hAnsi="Arial" w:cs="Arial"/>
          <w:sz w:val="24"/>
        </w:rPr>
      </w:pPr>
    </w:p>
    <w:p w14:paraId="2A59F75C" w14:textId="5AED8114" w:rsidR="00596057" w:rsidRDefault="000C512A" w:rsidP="00603042">
      <w:pPr>
        <w:spacing w:after="0" w:line="240" w:lineRule="auto"/>
        <w:ind w:right="-720"/>
        <w:rPr>
          <w:rFonts w:ascii="Arial" w:hAnsi="Arial" w:cs="Arial"/>
          <w:sz w:val="24"/>
        </w:rPr>
      </w:pPr>
      <w:r>
        <w:rPr>
          <w:rFonts w:ascii="Arial" w:hAnsi="Arial" w:cs="Arial"/>
          <w:sz w:val="24"/>
        </w:rPr>
        <w:t>The table below summarises the Q</w:t>
      </w:r>
      <w:r w:rsidR="00596057">
        <w:rPr>
          <w:rFonts w:ascii="Arial" w:hAnsi="Arial" w:cs="Arial"/>
          <w:sz w:val="24"/>
        </w:rPr>
        <w:t>uarter</w:t>
      </w:r>
      <w:r w:rsidR="004E2B74">
        <w:rPr>
          <w:rFonts w:ascii="Arial" w:hAnsi="Arial" w:cs="Arial"/>
          <w:sz w:val="24"/>
        </w:rPr>
        <w:t xml:space="preserve"> 2</w:t>
      </w:r>
      <w:r w:rsidR="00596057">
        <w:rPr>
          <w:rFonts w:ascii="Arial" w:hAnsi="Arial" w:cs="Arial"/>
          <w:sz w:val="24"/>
        </w:rPr>
        <w:t xml:space="preserve"> position on the projects/activities and performance indicators set out in our Interim Delivery Plan 2020/21.</w:t>
      </w:r>
    </w:p>
    <w:p w14:paraId="42FEC1BD" w14:textId="77777777" w:rsidR="00596057" w:rsidRDefault="00596057" w:rsidP="00603042">
      <w:pPr>
        <w:spacing w:after="0" w:line="240" w:lineRule="auto"/>
        <w:ind w:right="-720"/>
        <w:rPr>
          <w:rFonts w:ascii="Arial" w:hAnsi="Arial" w:cs="Arial"/>
          <w:sz w:val="24"/>
        </w:rPr>
      </w:pPr>
    </w:p>
    <w:tbl>
      <w:tblPr>
        <w:tblStyle w:val="TableGrid"/>
        <w:tblW w:w="9469" w:type="dxa"/>
        <w:tblInd w:w="-5" w:type="dxa"/>
        <w:tblLook w:val="04A0" w:firstRow="1" w:lastRow="0" w:firstColumn="1" w:lastColumn="0" w:noHBand="0" w:noVBand="1"/>
      </w:tblPr>
      <w:tblGrid>
        <w:gridCol w:w="2554"/>
        <w:gridCol w:w="868"/>
        <w:gridCol w:w="951"/>
        <w:gridCol w:w="979"/>
        <w:gridCol w:w="904"/>
        <w:gridCol w:w="875"/>
        <w:gridCol w:w="1083"/>
        <w:gridCol w:w="1255"/>
      </w:tblGrid>
      <w:tr w:rsidR="004E2B74" w14:paraId="0AA495B1" w14:textId="1083D743" w:rsidTr="4A486A5C">
        <w:tc>
          <w:tcPr>
            <w:tcW w:w="2554" w:type="dxa"/>
          </w:tcPr>
          <w:p w14:paraId="2035AA54" w14:textId="6DADEA1F" w:rsidR="004E2B74" w:rsidRPr="00E604A0" w:rsidRDefault="004E2B74" w:rsidP="00603042">
            <w:pPr>
              <w:ind w:right="-33"/>
              <w:rPr>
                <w:rFonts w:ascii="Arial" w:hAnsi="Arial" w:cs="Arial"/>
                <w:b/>
              </w:rPr>
            </w:pPr>
            <w:r w:rsidRPr="00E604A0">
              <w:rPr>
                <w:rFonts w:ascii="Arial" w:hAnsi="Arial" w:cs="Arial"/>
                <w:b/>
              </w:rPr>
              <w:t xml:space="preserve">Summary of Quarter </w:t>
            </w:r>
            <w:r>
              <w:rPr>
                <w:rFonts w:ascii="Arial" w:hAnsi="Arial" w:cs="Arial"/>
                <w:b/>
              </w:rPr>
              <w:t xml:space="preserve">2 </w:t>
            </w:r>
            <w:r w:rsidRPr="00E604A0">
              <w:rPr>
                <w:rFonts w:ascii="Arial" w:hAnsi="Arial" w:cs="Arial"/>
                <w:b/>
              </w:rPr>
              <w:t>position</w:t>
            </w:r>
          </w:p>
        </w:tc>
        <w:tc>
          <w:tcPr>
            <w:tcW w:w="868" w:type="dxa"/>
          </w:tcPr>
          <w:p w14:paraId="45D41F9F" w14:textId="04C83DD3" w:rsidR="004E2B74" w:rsidRPr="00E604A0" w:rsidRDefault="004E2B74" w:rsidP="00603042">
            <w:pPr>
              <w:ind w:right="-18"/>
              <w:jc w:val="center"/>
              <w:rPr>
                <w:rFonts w:ascii="Arial" w:hAnsi="Arial" w:cs="Arial"/>
                <w:b/>
              </w:rPr>
            </w:pPr>
            <w:r w:rsidRPr="00E604A0">
              <w:rPr>
                <w:rFonts w:ascii="Arial" w:hAnsi="Arial" w:cs="Arial"/>
                <w:b/>
              </w:rPr>
              <w:t>Total</w:t>
            </w:r>
          </w:p>
        </w:tc>
        <w:tc>
          <w:tcPr>
            <w:tcW w:w="951" w:type="dxa"/>
            <w:shd w:val="clear" w:color="auto" w:fill="92D050"/>
          </w:tcPr>
          <w:p w14:paraId="1B8A7DF3" w14:textId="77777777" w:rsidR="004E2B74" w:rsidRPr="00B275F1" w:rsidRDefault="004E2B74" w:rsidP="00603042">
            <w:pPr>
              <w:ind w:right="-18"/>
              <w:jc w:val="center"/>
              <w:rPr>
                <w:rFonts w:ascii="Arial" w:hAnsi="Arial" w:cs="Arial"/>
                <w:b/>
                <w:color w:val="000000" w:themeColor="text1"/>
              </w:rPr>
            </w:pPr>
            <w:r w:rsidRPr="00B275F1">
              <w:rPr>
                <w:rFonts w:ascii="Arial" w:hAnsi="Arial" w:cs="Arial"/>
                <w:b/>
                <w:color w:val="000000" w:themeColor="text1"/>
              </w:rPr>
              <w:t>Green</w:t>
            </w:r>
          </w:p>
          <w:p w14:paraId="2B0E9A76" w14:textId="77777777" w:rsidR="004E2B74" w:rsidRPr="00B275F1" w:rsidRDefault="004E2B74" w:rsidP="00603042">
            <w:pPr>
              <w:ind w:right="-18"/>
              <w:jc w:val="center"/>
              <w:rPr>
                <w:rFonts w:ascii="Arial" w:hAnsi="Arial" w:cs="Arial"/>
                <w:b/>
                <w:color w:val="000000" w:themeColor="text1"/>
              </w:rPr>
            </w:pPr>
          </w:p>
          <w:p w14:paraId="1E69D686" w14:textId="77777777" w:rsidR="004E2B74" w:rsidRDefault="004E2B74" w:rsidP="00603042">
            <w:pPr>
              <w:ind w:right="-18"/>
              <w:jc w:val="center"/>
              <w:rPr>
                <w:rFonts w:ascii="Arial" w:hAnsi="Arial" w:cs="Arial"/>
                <w:b/>
                <w:color w:val="000000" w:themeColor="text1"/>
              </w:rPr>
            </w:pPr>
          </w:p>
        </w:tc>
        <w:tc>
          <w:tcPr>
            <w:tcW w:w="979" w:type="dxa"/>
            <w:shd w:val="clear" w:color="auto" w:fill="FFC000" w:themeFill="accent4"/>
          </w:tcPr>
          <w:p w14:paraId="75CDFF0F" w14:textId="2B7C9F21" w:rsidR="004E2B74" w:rsidRPr="00E604A0" w:rsidRDefault="004E2B74" w:rsidP="00603042">
            <w:pPr>
              <w:ind w:right="-18"/>
              <w:jc w:val="center"/>
              <w:rPr>
                <w:rFonts w:ascii="Arial" w:hAnsi="Arial" w:cs="Arial"/>
                <w:b/>
              </w:rPr>
            </w:pPr>
            <w:r>
              <w:rPr>
                <w:rFonts w:ascii="Arial" w:hAnsi="Arial" w:cs="Arial"/>
                <w:b/>
                <w:color w:val="000000" w:themeColor="text1"/>
              </w:rPr>
              <w:t>Amber</w:t>
            </w:r>
          </w:p>
        </w:tc>
        <w:tc>
          <w:tcPr>
            <w:tcW w:w="904" w:type="dxa"/>
            <w:shd w:val="clear" w:color="auto" w:fill="C00000"/>
          </w:tcPr>
          <w:p w14:paraId="7ABEDCA7" w14:textId="5FF3A9B8" w:rsidR="004E2B74" w:rsidRPr="00E604A0" w:rsidRDefault="004E2B74" w:rsidP="00603042">
            <w:pPr>
              <w:ind w:right="-108"/>
              <w:jc w:val="center"/>
              <w:rPr>
                <w:rFonts w:ascii="Arial" w:hAnsi="Arial" w:cs="Arial"/>
                <w:b/>
              </w:rPr>
            </w:pPr>
            <w:r>
              <w:rPr>
                <w:rFonts w:ascii="Arial" w:hAnsi="Arial" w:cs="Arial"/>
                <w:b/>
              </w:rPr>
              <w:t>Red</w:t>
            </w:r>
          </w:p>
        </w:tc>
        <w:tc>
          <w:tcPr>
            <w:tcW w:w="875" w:type="dxa"/>
            <w:shd w:val="clear" w:color="auto" w:fill="0070C0"/>
          </w:tcPr>
          <w:p w14:paraId="255DE649" w14:textId="0CEC792D" w:rsidR="004E2B74" w:rsidRPr="00555156" w:rsidRDefault="004E2B74" w:rsidP="004375DC">
            <w:pPr>
              <w:ind w:right="-18"/>
              <w:jc w:val="center"/>
              <w:rPr>
                <w:rFonts w:ascii="Arial" w:hAnsi="Arial" w:cs="Arial"/>
                <w:b/>
              </w:rPr>
            </w:pPr>
            <w:r>
              <w:rPr>
                <w:rFonts w:ascii="Arial" w:hAnsi="Arial" w:cs="Arial"/>
                <w:b/>
              </w:rPr>
              <w:t>Blue</w:t>
            </w:r>
          </w:p>
        </w:tc>
        <w:tc>
          <w:tcPr>
            <w:tcW w:w="1083" w:type="dxa"/>
            <w:shd w:val="clear" w:color="auto" w:fill="A6A6A6" w:themeFill="background1" w:themeFillShade="A6"/>
          </w:tcPr>
          <w:p w14:paraId="41638179" w14:textId="7E97ECA1" w:rsidR="004E2B74" w:rsidRPr="00E604A0" w:rsidRDefault="004E2B74" w:rsidP="004375DC">
            <w:pPr>
              <w:ind w:right="-18"/>
              <w:jc w:val="center"/>
              <w:rPr>
                <w:rFonts w:ascii="Arial" w:hAnsi="Arial" w:cs="Arial"/>
                <w:b/>
              </w:rPr>
            </w:pPr>
            <w:r w:rsidRPr="00555156">
              <w:rPr>
                <w:rFonts w:ascii="Arial" w:hAnsi="Arial" w:cs="Arial"/>
                <w:b/>
              </w:rPr>
              <w:t>No</w:t>
            </w:r>
            <w:r>
              <w:rPr>
                <w:rFonts w:ascii="Arial" w:hAnsi="Arial" w:cs="Arial"/>
                <w:b/>
              </w:rPr>
              <w:t xml:space="preserve"> fixed target figure</w:t>
            </w:r>
            <w:r>
              <w:rPr>
                <w:rStyle w:val="FootnoteReference"/>
                <w:rFonts w:ascii="Arial" w:hAnsi="Arial" w:cs="Arial"/>
                <w:b/>
              </w:rPr>
              <w:footnoteReference w:id="1"/>
            </w:r>
          </w:p>
        </w:tc>
        <w:tc>
          <w:tcPr>
            <w:tcW w:w="1255" w:type="dxa"/>
            <w:shd w:val="clear" w:color="auto" w:fill="A6A6A6" w:themeFill="background1" w:themeFillShade="A6"/>
          </w:tcPr>
          <w:p w14:paraId="2CE5E8C7" w14:textId="256026A7" w:rsidR="004E2B74" w:rsidRPr="00555156" w:rsidRDefault="004E2B74" w:rsidP="00603042">
            <w:pPr>
              <w:ind w:right="-18"/>
              <w:jc w:val="center"/>
              <w:rPr>
                <w:rFonts w:ascii="Arial" w:hAnsi="Arial" w:cs="Arial"/>
                <w:b/>
              </w:rPr>
            </w:pPr>
            <w:r>
              <w:rPr>
                <w:rFonts w:ascii="Arial" w:hAnsi="Arial" w:cs="Arial"/>
                <w:b/>
              </w:rPr>
              <w:t>No new data available</w:t>
            </w:r>
            <w:r>
              <w:rPr>
                <w:rStyle w:val="FootnoteReference"/>
                <w:rFonts w:ascii="Arial" w:hAnsi="Arial" w:cs="Arial"/>
                <w:b/>
              </w:rPr>
              <w:footnoteReference w:id="2"/>
            </w:r>
          </w:p>
        </w:tc>
      </w:tr>
      <w:tr w:rsidR="004E2B74" w14:paraId="5D7FD4DA" w14:textId="06CF7AE0" w:rsidTr="4A486A5C">
        <w:trPr>
          <w:trHeight w:val="367"/>
        </w:trPr>
        <w:tc>
          <w:tcPr>
            <w:tcW w:w="2554" w:type="dxa"/>
          </w:tcPr>
          <w:p w14:paraId="670F5A66" w14:textId="26E39B44" w:rsidR="004E2B74" w:rsidRPr="00E604A0" w:rsidRDefault="004E2B74" w:rsidP="00603042">
            <w:pPr>
              <w:ind w:right="-18"/>
              <w:rPr>
                <w:rFonts w:ascii="Arial" w:hAnsi="Arial" w:cs="Arial"/>
              </w:rPr>
            </w:pPr>
            <w:r w:rsidRPr="00E604A0">
              <w:rPr>
                <w:rFonts w:ascii="Arial" w:hAnsi="Arial" w:cs="Arial"/>
              </w:rPr>
              <w:t>Projects/activities</w:t>
            </w:r>
          </w:p>
        </w:tc>
        <w:tc>
          <w:tcPr>
            <w:tcW w:w="868" w:type="dxa"/>
          </w:tcPr>
          <w:p w14:paraId="530BF69C" w14:textId="3D541C54" w:rsidR="004E2B74" w:rsidRPr="0033236B" w:rsidRDefault="004E2B74" w:rsidP="00603042">
            <w:pPr>
              <w:jc w:val="center"/>
              <w:rPr>
                <w:rFonts w:ascii="Arial" w:hAnsi="Arial" w:cs="Arial"/>
                <w:highlight w:val="yellow"/>
              </w:rPr>
            </w:pPr>
            <w:r>
              <w:rPr>
                <w:rFonts w:ascii="Arial" w:hAnsi="Arial" w:cs="Arial"/>
              </w:rPr>
              <w:t>39</w:t>
            </w:r>
          </w:p>
        </w:tc>
        <w:tc>
          <w:tcPr>
            <w:tcW w:w="951" w:type="dxa"/>
            <w:shd w:val="clear" w:color="auto" w:fill="92D050"/>
          </w:tcPr>
          <w:p w14:paraId="56005670" w14:textId="32027B11" w:rsidR="004E2B74" w:rsidRPr="00B974CC" w:rsidRDefault="006B7077" w:rsidP="00603042">
            <w:pPr>
              <w:ind w:right="-18"/>
              <w:jc w:val="center"/>
              <w:rPr>
                <w:rFonts w:ascii="Arial" w:hAnsi="Arial" w:cs="Arial"/>
              </w:rPr>
            </w:pPr>
            <w:r w:rsidRPr="4A486A5C">
              <w:rPr>
                <w:rFonts w:ascii="Arial" w:hAnsi="Arial" w:cs="Arial"/>
              </w:rPr>
              <w:t>3</w:t>
            </w:r>
            <w:r w:rsidR="30EE1ABF" w:rsidRPr="4A486A5C">
              <w:rPr>
                <w:rFonts w:ascii="Arial" w:hAnsi="Arial" w:cs="Arial"/>
              </w:rPr>
              <w:t>2</w:t>
            </w:r>
          </w:p>
        </w:tc>
        <w:tc>
          <w:tcPr>
            <w:tcW w:w="979" w:type="dxa"/>
            <w:shd w:val="clear" w:color="auto" w:fill="FFC000" w:themeFill="accent4"/>
          </w:tcPr>
          <w:p w14:paraId="0D00ACAC" w14:textId="3719C320" w:rsidR="004E2B74" w:rsidRPr="00B974CC" w:rsidRDefault="004E2B74" w:rsidP="00603042">
            <w:pPr>
              <w:ind w:right="-18"/>
              <w:jc w:val="center"/>
              <w:rPr>
                <w:rFonts w:ascii="Arial" w:hAnsi="Arial" w:cs="Arial"/>
              </w:rPr>
            </w:pPr>
            <w:r>
              <w:rPr>
                <w:rFonts w:ascii="Arial" w:hAnsi="Arial" w:cs="Arial"/>
              </w:rPr>
              <w:t>6</w:t>
            </w:r>
          </w:p>
        </w:tc>
        <w:tc>
          <w:tcPr>
            <w:tcW w:w="904" w:type="dxa"/>
            <w:shd w:val="clear" w:color="auto" w:fill="C00000"/>
          </w:tcPr>
          <w:p w14:paraId="6DECE878" w14:textId="492AEBD4" w:rsidR="004E2B74" w:rsidRPr="00B974CC" w:rsidRDefault="006B7077" w:rsidP="00603042">
            <w:pPr>
              <w:ind w:right="-65"/>
              <w:jc w:val="center"/>
              <w:rPr>
                <w:rFonts w:ascii="Arial" w:hAnsi="Arial" w:cs="Arial"/>
              </w:rPr>
            </w:pPr>
            <w:r>
              <w:rPr>
                <w:rFonts w:ascii="Arial" w:hAnsi="Arial" w:cs="Arial"/>
              </w:rPr>
              <w:t>0</w:t>
            </w:r>
          </w:p>
        </w:tc>
        <w:tc>
          <w:tcPr>
            <w:tcW w:w="875" w:type="dxa"/>
            <w:shd w:val="clear" w:color="auto" w:fill="auto"/>
          </w:tcPr>
          <w:p w14:paraId="4018B1A3" w14:textId="3275C41B" w:rsidR="004E2B74" w:rsidRDefault="004E2B74" w:rsidP="00603042">
            <w:pPr>
              <w:ind w:right="-18"/>
              <w:jc w:val="center"/>
              <w:rPr>
                <w:rFonts w:ascii="Arial" w:hAnsi="Arial" w:cs="Arial"/>
              </w:rPr>
            </w:pPr>
            <w:r>
              <w:rPr>
                <w:rFonts w:ascii="Arial" w:hAnsi="Arial" w:cs="Arial"/>
              </w:rPr>
              <w:t>1</w:t>
            </w:r>
          </w:p>
        </w:tc>
        <w:tc>
          <w:tcPr>
            <w:tcW w:w="1083" w:type="dxa"/>
            <w:shd w:val="clear" w:color="auto" w:fill="auto"/>
          </w:tcPr>
          <w:p w14:paraId="1CE043AC" w14:textId="2BBE56E7" w:rsidR="004E2B74" w:rsidRPr="007C573D" w:rsidRDefault="004E2B74" w:rsidP="00603042">
            <w:pPr>
              <w:ind w:right="-18"/>
              <w:jc w:val="center"/>
              <w:rPr>
                <w:rFonts w:ascii="Arial" w:hAnsi="Arial" w:cs="Arial"/>
              </w:rPr>
            </w:pPr>
            <w:r>
              <w:rPr>
                <w:rFonts w:ascii="Arial" w:hAnsi="Arial" w:cs="Arial"/>
              </w:rPr>
              <w:t>n/a</w:t>
            </w:r>
          </w:p>
        </w:tc>
        <w:tc>
          <w:tcPr>
            <w:tcW w:w="1255" w:type="dxa"/>
            <w:shd w:val="clear" w:color="auto" w:fill="auto"/>
          </w:tcPr>
          <w:p w14:paraId="60A999EC" w14:textId="18D3452D" w:rsidR="004E2B74" w:rsidRDefault="004E2B74" w:rsidP="00603042">
            <w:pPr>
              <w:ind w:right="-18"/>
              <w:jc w:val="center"/>
              <w:rPr>
                <w:rFonts w:ascii="Arial" w:hAnsi="Arial" w:cs="Arial"/>
              </w:rPr>
            </w:pPr>
            <w:r>
              <w:rPr>
                <w:rFonts w:ascii="Arial" w:hAnsi="Arial" w:cs="Arial"/>
              </w:rPr>
              <w:t>n/a</w:t>
            </w:r>
          </w:p>
        </w:tc>
      </w:tr>
      <w:tr w:rsidR="004E2B74" w14:paraId="20F6F0D6" w14:textId="4C3E562C" w:rsidTr="4A486A5C">
        <w:trPr>
          <w:trHeight w:val="416"/>
        </w:trPr>
        <w:tc>
          <w:tcPr>
            <w:tcW w:w="2554" w:type="dxa"/>
            <w:shd w:val="clear" w:color="auto" w:fill="auto"/>
          </w:tcPr>
          <w:p w14:paraId="0C1594A7" w14:textId="18036071" w:rsidR="004E2B74" w:rsidRPr="00E604A0" w:rsidRDefault="004E2B74" w:rsidP="382E8D17">
            <w:pPr>
              <w:ind w:right="-18"/>
              <w:rPr>
                <w:rFonts w:ascii="Arial" w:hAnsi="Arial" w:cs="Arial"/>
                <w:highlight w:val="lightGray"/>
              </w:rPr>
            </w:pPr>
            <w:r w:rsidRPr="000557AD">
              <w:rPr>
                <w:rFonts w:ascii="Arial" w:hAnsi="Arial" w:cs="Arial"/>
              </w:rPr>
              <w:t>KPIs</w:t>
            </w:r>
            <w:r w:rsidRPr="382E8D17">
              <w:rPr>
                <w:rFonts w:ascii="Arial" w:hAnsi="Arial" w:cs="Arial"/>
              </w:rPr>
              <w:t xml:space="preserve"> </w:t>
            </w:r>
          </w:p>
        </w:tc>
        <w:tc>
          <w:tcPr>
            <w:tcW w:w="868" w:type="dxa"/>
          </w:tcPr>
          <w:p w14:paraId="32F47BE6" w14:textId="4B91DEB0" w:rsidR="004E2B74" w:rsidRPr="00E55586" w:rsidRDefault="004E2B74" w:rsidP="00603042">
            <w:pPr>
              <w:jc w:val="center"/>
              <w:rPr>
                <w:rFonts w:ascii="Arial" w:hAnsi="Arial" w:cs="Arial"/>
              </w:rPr>
            </w:pPr>
            <w:r>
              <w:rPr>
                <w:rFonts w:ascii="Arial" w:hAnsi="Arial" w:cs="Arial"/>
              </w:rPr>
              <w:t>40</w:t>
            </w:r>
          </w:p>
        </w:tc>
        <w:tc>
          <w:tcPr>
            <w:tcW w:w="951" w:type="dxa"/>
            <w:shd w:val="clear" w:color="auto" w:fill="92D050"/>
          </w:tcPr>
          <w:p w14:paraId="1E5131C7" w14:textId="371B0AB0" w:rsidR="004E2B74" w:rsidRPr="00E175E2" w:rsidRDefault="00572DCD" w:rsidP="00603042">
            <w:pPr>
              <w:ind w:right="-18"/>
              <w:jc w:val="center"/>
              <w:rPr>
                <w:rFonts w:ascii="Arial" w:hAnsi="Arial" w:cs="Arial"/>
                <w:highlight w:val="yellow"/>
              </w:rPr>
            </w:pPr>
            <w:r w:rsidRPr="00572DCD">
              <w:rPr>
                <w:rFonts w:ascii="Arial" w:hAnsi="Arial" w:cs="Arial"/>
              </w:rPr>
              <w:t>15</w:t>
            </w:r>
          </w:p>
        </w:tc>
        <w:tc>
          <w:tcPr>
            <w:tcW w:w="979" w:type="dxa"/>
            <w:shd w:val="clear" w:color="auto" w:fill="FFC000" w:themeFill="accent4"/>
          </w:tcPr>
          <w:p w14:paraId="6841E6FE" w14:textId="319C17A1" w:rsidR="004E2B74" w:rsidRPr="00572DCD" w:rsidRDefault="00E175E2" w:rsidP="00603042">
            <w:pPr>
              <w:ind w:right="-18"/>
              <w:jc w:val="center"/>
              <w:rPr>
                <w:rFonts w:ascii="Arial" w:hAnsi="Arial" w:cs="Arial"/>
              </w:rPr>
            </w:pPr>
            <w:r w:rsidRPr="00572DCD">
              <w:rPr>
                <w:rFonts w:ascii="Arial" w:hAnsi="Arial" w:cs="Arial"/>
              </w:rPr>
              <w:t>9</w:t>
            </w:r>
          </w:p>
        </w:tc>
        <w:tc>
          <w:tcPr>
            <w:tcW w:w="904" w:type="dxa"/>
            <w:shd w:val="clear" w:color="auto" w:fill="C00000"/>
          </w:tcPr>
          <w:p w14:paraId="43478034" w14:textId="54AC7BFA" w:rsidR="004E2B74" w:rsidRPr="00572DCD" w:rsidRDefault="004E2B74" w:rsidP="00603042">
            <w:pPr>
              <w:ind w:right="-65"/>
              <w:jc w:val="center"/>
              <w:rPr>
                <w:rFonts w:ascii="Arial" w:hAnsi="Arial" w:cs="Arial"/>
              </w:rPr>
            </w:pPr>
            <w:r w:rsidRPr="00572DCD">
              <w:rPr>
                <w:rFonts w:ascii="Arial" w:hAnsi="Arial" w:cs="Arial"/>
              </w:rPr>
              <w:t>1</w:t>
            </w:r>
          </w:p>
        </w:tc>
        <w:tc>
          <w:tcPr>
            <w:tcW w:w="875" w:type="dxa"/>
            <w:shd w:val="clear" w:color="auto" w:fill="auto"/>
          </w:tcPr>
          <w:p w14:paraId="42537AC9" w14:textId="7649E935" w:rsidR="004E2B74" w:rsidRDefault="004E2B74" w:rsidP="00603042">
            <w:pPr>
              <w:ind w:right="-18"/>
              <w:jc w:val="center"/>
              <w:rPr>
                <w:rFonts w:ascii="Arial" w:hAnsi="Arial" w:cs="Arial"/>
              </w:rPr>
            </w:pPr>
            <w:r>
              <w:rPr>
                <w:rFonts w:ascii="Arial" w:hAnsi="Arial" w:cs="Arial"/>
              </w:rPr>
              <w:t>n/a</w:t>
            </w:r>
          </w:p>
        </w:tc>
        <w:tc>
          <w:tcPr>
            <w:tcW w:w="1083" w:type="dxa"/>
            <w:shd w:val="clear" w:color="auto" w:fill="auto"/>
          </w:tcPr>
          <w:p w14:paraId="778ACD5C" w14:textId="16291D3D" w:rsidR="004E2B74" w:rsidRPr="0060238C" w:rsidRDefault="004E2B74" w:rsidP="00603042">
            <w:pPr>
              <w:ind w:right="-18"/>
              <w:jc w:val="center"/>
              <w:rPr>
                <w:rFonts w:ascii="Arial" w:hAnsi="Arial" w:cs="Arial"/>
              </w:rPr>
            </w:pPr>
            <w:r>
              <w:rPr>
                <w:rFonts w:ascii="Arial" w:hAnsi="Arial" w:cs="Arial"/>
              </w:rPr>
              <w:t>13</w:t>
            </w:r>
          </w:p>
        </w:tc>
        <w:tc>
          <w:tcPr>
            <w:tcW w:w="1255" w:type="dxa"/>
            <w:shd w:val="clear" w:color="auto" w:fill="auto"/>
          </w:tcPr>
          <w:p w14:paraId="0E7CAACE" w14:textId="174BB84B" w:rsidR="004E2B74" w:rsidRPr="0060238C" w:rsidRDefault="007B4087" w:rsidP="007B4087">
            <w:pPr>
              <w:ind w:right="-18"/>
              <w:jc w:val="center"/>
              <w:rPr>
                <w:rFonts w:ascii="Arial" w:hAnsi="Arial" w:cs="Arial"/>
              </w:rPr>
            </w:pPr>
            <w:r>
              <w:rPr>
                <w:rFonts w:ascii="Arial" w:hAnsi="Arial" w:cs="Arial"/>
              </w:rPr>
              <w:t>5</w:t>
            </w:r>
          </w:p>
        </w:tc>
      </w:tr>
    </w:tbl>
    <w:p w14:paraId="07BAA99E" w14:textId="77777777" w:rsidR="00E175E2" w:rsidRDefault="00E175E2" w:rsidP="00603042">
      <w:pPr>
        <w:spacing w:before="120" w:after="0" w:line="240" w:lineRule="auto"/>
        <w:ind w:right="-811"/>
        <w:rPr>
          <w:rStyle w:val="normaltextrun"/>
          <w:rFonts w:ascii="Arial" w:hAnsi="Arial" w:cs="Arial"/>
          <w:color w:val="000000"/>
          <w:sz w:val="20"/>
          <w:szCs w:val="20"/>
          <w:shd w:val="clear" w:color="auto" w:fill="FFFFFF"/>
        </w:rPr>
      </w:pPr>
    </w:p>
    <w:p w14:paraId="70D42247" w14:textId="77777777" w:rsidR="0039442F" w:rsidRPr="0057059A" w:rsidRDefault="00596057" w:rsidP="0057059A">
      <w:pPr>
        <w:pStyle w:val="Heading3"/>
        <w:spacing w:after="120"/>
        <w:rPr>
          <w:rFonts w:ascii="Arial" w:hAnsi="Arial" w:cs="Arial"/>
          <w:b/>
          <w:color w:val="auto"/>
          <w:sz w:val="26"/>
          <w:szCs w:val="26"/>
        </w:rPr>
      </w:pPr>
      <w:r w:rsidRPr="0057059A">
        <w:rPr>
          <w:rFonts w:ascii="Arial" w:hAnsi="Arial" w:cs="Arial"/>
          <w:b/>
          <w:color w:val="auto"/>
          <w:sz w:val="26"/>
          <w:szCs w:val="26"/>
        </w:rPr>
        <w:t xml:space="preserve">Projects/activities: </w:t>
      </w:r>
    </w:p>
    <w:p w14:paraId="518AACEF" w14:textId="7FD2EB1F" w:rsidR="00596057" w:rsidRDefault="00596057" w:rsidP="00603042">
      <w:pPr>
        <w:spacing w:after="0" w:line="240" w:lineRule="auto"/>
        <w:ind w:right="-720"/>
        <w:rPr>
          <w:rFonts w:ascii="Arial" w:hAnsi="Arial" w:cs="Arial"/>
          <w:sz w:val="24"/>
        </w:rPr>
      </w:pPr>
      <w:r>
        <w:rPr>
          <w:rFonts w:ascii="Arial" w:hAnsi="Arial" w:cs="Arial"/>
          <w:sz w:val="24"/>
        </w:rPr>
        <w:t>There are 39 projects/activities set out in the Interim Delivery Plan 2020/21 of which for Q</w:t>
      </w:r>
      <w:r w:rsidR="005C315D">
        <w:rPr>
          <w:rFonts w:ascii="Arial" w:hAnsi="Arial" w:cs="Arial"/>
          <w:sz w:val="24"/>
        </w:rPr>
        <w:t>2</w:t>
      </w:r>
      <w:r>
        <w:rPr>
          <w:rFonts w:ascii="Arial" w:hAnsi="Arial" w:cs="Arial"/>
          <w:sz w:val="24"/>
        </w:rPr>
        <w:t>:</w:t>
      </w:r>
    </w:p>
    <w:p w14:paraId="56D50A9F" w14:textId="43A6B3BC" w:rsidR="0039442F" w:rsidRPr="00DB1535" w:rsidRDefault="00DB1535" w:rsidP="4A486A5C">
      <w:pPr>
        <w:pStyle w:val="ListParagraph"/>
        <w:numPr>
          <w:ilvl w:val="0"/>
          <w:numId w:val="4"/>
        </w:numPr>
        <w:spacing w:before="40" w:after="0" w:line="240" w:lineRule="auto"/>
        <w:ind w:left="850" w:right="-720" w:hanging="357"/>
        <w:contextualSpacing w:val="0"/>
        <w:rPr>
          <w:rFonts w:ascii="Arial" w:hAnsi="Arial" w:cs="Arial"/>
          <w:sz w:val="24"/>
          <w:szCs w:val="24"/>
        </w:rPr>
      </w:pPr>
      <w:r w:rsidRPr="4A486A5C">
        <w:rPr>
          <w:rFonts w:ascii="Arial" w:hAnsi="Arial" w:cs="Arial"/>
          <w:sz w:val="24"/>
          <w:szCs w:val="24"/>
        </w:rPr>
        <w:t>8</w:t>
      </w:r>
      <w:r w:rsidR="635CE8B0" w:rsidRPr="4A486A5C">
        <w:rPr>
          <w:rFonts w:ascii="Arial" w:hAnsi="Arial" w:cs="Arial"/>
          <w:sz w:val="24"/>
          <w:szCs w:val="24"/>
        </w:rPr>
        <w:t>4</w:t>
      </w:r>
      <w:r w:rsidR="0039442F" w:rsidRPr="4A486A5C">
        <w:rPr>
          <w:rFonts w:ascii="Arial" w:hAnsi="Arial" w:cs="Arial"/>
          <w:sz w:val="24"/>
          <w:szCs w:val="24"/>
        </w:rPr>
        <w:t>% are green (on track</w:t>
      </w:r>
      <w:r w:rsidR="00B974CC" w:rsidRPr="4A486A5C">
        <w:rPr>
          <w:rFonts w:ascii="Arial" w:hAnsi="Arial" w:cs="Arial"/>
          <w:sz w:val="24"/>
          <w:szCs w:val="24"/>
        </w:rPr>
        <w:t>)</w:t>
      </w:r>
    </w:p>
    <w:p w14:paraId="3B0EEBDD" w14:textId="7530043C" w:rsidR="0039442F" w:rsidRPr="00DB1535" w:rsidRDefault="00DB1535" w:rsidP="00B24642">
      <w:pPr>
        <w:pStyle w:val="ListParagraph"/>
        <w:numPr>
          <w:ilvl w:val="0"/>
          <w:numId w:val="4"/>
        </w:numPr>
        <w:spacing w:before="40" w:after="0" w:line="240" w:lineRule="auto"/>
        <w:ind w:left="850" w:right="-720" w:hanging="357"/>
        <w:contextualSpacing w:val="0"/>
        <w:rPr>
          <w:rFonts w:ascii="Arial" w:hAnsi="Arial" w:cs="Arial"/>
          <w:sz w:val="24"/>
        </w:rPr>
      </w:pPr>
      <w:r w:rsidRPr="00DB1535">
        <w:rPr>
          <w:rFonts w:ascii="Arial" w:hAnsi="Arial" w:cs="Arial"/>
          <w:sz w:val="24"/>
        </w:rPr>
        <w:t>15</w:t>
      </w:r>
      <w:r w:rsidR="0039442F" w:rsidRPr="00DB1535">
        <w:rPr>
          <w:rFonts w:ascii="Arial" w:hAnsi="Arial" w:cs="Arial"/>
          <w:sz w:val="24"/>
        </w:rPr>
        <w:t>% are amber</w:t>
      </w:r>
    </w:p>
    <w:p w14:paraId="46937C55" w14:textId="5C3D4113" w:rsidR="0039442F" w:rsidRPr="00DB1535" w:rsidRDefault="006B7077" w:rsidP="00B24642">
      <w:pPr>
        <w:pStyle w:val="ListParagraph"/>
        <w:numPr>
          <w:ilvl w:val="0"/>
          <w:numId w:val="4"/>
        </w:numPr>
        <w:spacing w:before="40" w:after="0" w:line="240" w:lineRule="auto"/>
        <w:ind w:left="850" w:right="-720" w:hanging="357"/>
        <w:contextualSpacing w:val="0"/>
        <w:rPr>
          <w:rFonts w:ascii="Arial" w:hAnsi="Arial" w:cs="Arial"/>
          <w:sz w:val="24"/>
        </w:rPr>
      </w:pPr>
      <w:r>
        <w:rPr>
          <w:rFonts w:ascii="Arial" w:hAnsi="Arial" w:cs="Arial"/>
          <w:sz w:val="24"/>
        </w:rPr>
        <w:t>0</w:t>
      </w:r>
      <w:r w:rsidR="0039442F" w:rsidRPr="00DB1535">
        <w:rPr>
          <w:rFonts w:ascii="Arial" w:hAnsi="Arial" w:cs="Arial"/>
          <w:sz w:val="24"/>
        </w:rPr>
        <w:t>% are red</w:t>
      </w:r>
    </w:p>
    <w:p w14:paraId="5A296262" w14:textId="77777777" w:rsidR="0039442F" w:rsidRDefault="0039442F" w:rsidP="00603042">
      <w:pPr>
        <w:spacing w:after="0" w:line="240" w:lineRule="auto"/>
        <w:ind w:right="-720"/>
        <w:rPr>
          <w:rFonts w:ascii="Arial" w:hAnsi="Arial" w:cs="Arial"/>
          <w:sz w:val="24"/>
        </w:rPr>
      </w:pPr>
    </w:p>
    <w:p w14:paraId="6C7B6E42" w14:textId="4A58A548" w:rsidR="00A84510" w:rsidRDefault="004E5B55" w:rsidP="382E8D17">
      <w:pPr>
        <w:spacing w:after="0" w:line="240" w:lineRule="auto"/>
        <w:ind w:right="-720"/>
        <w:rPr>
          <w:rFonts w:ascii="Arial" w:hAnsi="Arial" w:cs="Arial"/>
          <w:sz w:val="24"/>
          <w:szCs w:val="24"/>
        </w:rPr>
      </w:pPr>
      <w:r w:rsidRPr="2D652033">
        <w:rPr>
          <w:rFonts w:ascii="Arial" w:hAnsi="Arial" w:cs="Arial"/>
          <w:sz w:val="24"/>
          <w:szCs w:val="24"/>
        </w:rPr>
        <w:t>The majority of projects and activities set out in the Interim Delivery Plan are on track, with notable achievements including the significant work of teams across the organisation to keep day to day services running as well as undertaking considerable additional work relating the pandemic situation such as paying out over 3</w:t>
      </w:r>
      <w:r w:rsidR="00950837" w:rsidRPr="2D652033">
        <w:rPr>
          <w:rFonts w:ascii="Arial" w:hAnsi="Arial" w:cs="Arial"/>
          <w:sz w:val="24"/>
          <w:szCs w:val="24"/>
        </w:rPr>
        <w:t>5</w:t>
      </w:r>
      <w:r w:rsidRPr="2D652033">
        <w:rPr>
          <w:rFonts w:ascii="Arial" w:hAnsi="Arial" w:cs="Arial"/>
          <w:sz w:val="24"/>
          <w:szCs w:val="24"/>
        </w:rPr>
        <w:t>00 grants to businesses; undertaking advisory and enforcement work around</w:t>
      </w:r>
      <w:r w:rsidR="006C55CC" w:rsidRPr="2D652033">
        <w:rPr>
          <w:rFonts w:ascii="Arial" w:hAnsi="Arial" w:cs="Arial"/>
          <w:sz w:val="24"/>
          <w:szCs w:val="24"/>
        </w:rPr>
        <w:t xml:space="preserve"> safe practices in local businesses;</w:t>
      </w:r>
      <w:r w:rsidRPr="2D652033">
        <w:rPr>
          <w:rFonts w:ascii="Arial" w:hAnsi="Arial" w:cs="Arial"/>
          <w:sz w:val="24"/>
          <w:szCs w:val="24"/>
        </w:rPr>
        <w:t xml:space="preserve"> </w:t>
      </w:r>
      <w:r w:rsidR="006C55CC" w:rsidRPr="2D652033">
        <w:rPr>
          <w:rFonts w:ascii="Arial" w:hAnsi="Arial" w:cs="Arial"/>
          <w:sz w:val="24"/>
          <w:szCs w:val="24"/>
        </w:rPr>
        <w:t xml:space="preserve">continued </w:t>
      </w:r>
      <w:r w:rsidR="00950837" w:rsidRPr="2D652033">
        <w:rPr>
          <w:rFonts w:ascii="Arial" w:hAnsi="Arial" w:cs="Arial"/>
          <w:sz w:val="24"/>
          <w:szCs w:val="24"/>
        </w:rPr>
        <w:t xml:space="preserve">successful </w:t>
      </w:r>
      <w:r w:rsidR="006C55CC" w:rsidRPr="2D652033">
        <w:rPr>
          <w:rFonts w:ascii="Arial" w:hAnsi="Arial" w:cs="Arial"/>
          <w:sz w:val="24"/>
          <w:szCs w:val="24"/>
        </w:rPr>
        <w:t>delivery with the county council of</w:t>
      </w:r>
      <w:r w:rsidRPr="2D652033">
        <w:rPr>
          <w:rFonts w:ascii="Arial" w:hAnsi="Arial" w:cs="Arial"/>
          <w:sz w:val="24"/>
          <w:szCs w:val="24"/>
        </w:rPr>
        <w:t xml:space="preserve"> the local test and trace system</w:t>
      </w:r>
      <w:r w:rsidR="005F48D0" w:rsidRPr="2D652033">
        <w:rPr>
          <w:rFonts w:ascii="Arial" w:hAnsi="Arial" w:cs="Arial"/>
          <w:sz w:val="24"/>
          <w:szCs w:val="24"/>
        </w:rPr>
        <w:t>; and working with the visitor sector to develop recovery plans</w:t>
      </w:r>
      <w:r w:rsidR="006C55CC" w:rsidRPr="2D652033">
        <w:rPr>
          <w:rFonts w:ascii="Arial" w:hAnsi="Arial" w:cs="Arial"/>
          <w:sz w:val="24"/>
          <w:szCs w:val="24"/>
        </w:rPr>
        <w:t xml:space="preserve">.  </w:t>
      </w:r>
      <w:r w:rsidR="00A84510" w:rsidRPr="2D652033">
        <w:rPr>
          <w:rFonts w:ascii="Arial" w:hAnsi="Arial" w:cs="Arial"/>
          <w:sz w:val="24"/>
          <w:szCs w:val="24"/>
        </w:rPr>
        <w:t xml:space="preserve">The Housing Options team have successfully secured additional revenue funding for rough sleepers of £82k from </w:t>
      </w:r>
      <w:r w:rsidR="2FA173DC" w:rsidRPr="2D652033">
        <w:rPr>
          <w:rFonts w:ascii="Arial" w:hAnsi="Arial" w:cs="Arial"/>
          <w:sz w:val="24"/>
          <w:szCs w:val="24"/>
        </w:rPr>
        <w:t xml:space="preserve">a </w:t>
      </w:r>
      <w:r w:rsidR="00A84510" w:rsidRPr="2D652033">
        <w:rPr>
          <w:rFonts w:ascii="Arial" w:hAnsi="Arial" w:cs="Arial"/>
          <w:sz w:val="24"/>
          <w:szCs w:val="24"/>
        </w:rPr>
        <w:t xml:space="preserve">Next Steps Accommodation Programme bid, but are still waiting to hear about the capital side of the bid which would secure additional funding to house rough sleepers.   </w:t>
      </w:r>
    </w:p>
    <w:p w14:paraId="7D601297" w14:textId="77777777" w:rsidR="00A84510" w:rsidRDefault="00A84510" w:rsidP="382E8D17">
      <w:pPr>
        <w:spacing w:after="0" w:line="240" w:lineRule="auto"/>
        <w:ind w:right="-720"/>
        <w:rPr>
          <w:rFonts w:ascii="Arial" w:hAnsi="Arial" w:cs="Arial"/>
          <w:sz w:val="24"/>
          <w:szCs w:val="24"/>
        </w:rPr>
      </w:pPr>
    </w:p>
    <w:p w14:paraId="0AE39855" w14:textId="28591AA6" w:rsidR="0039442F" w:rsidRPr="005F48D0" w:rsidRDefault="00457E7F" w:rsidP="382E8D17">
      <w:pPr>
        <w:spacing w:after="0" w:line="240" w:lineRule="auto"/>
        <w:ind w:right="-720"/>
        <w:rPr>
          <w:rFonts w:ascii="Arial" w:hAnsi="Arial" w:cs="Arial"/>
          <w:sz w:val="24"/>
          <w:szCs w:val="24"/>
        </w:rPr>
      </w:pPr>
      <w:r w:rsidRPr="005F48D0">
        <w:rPr>
          <w:rFonts w:ascii="Arial" w:hAnsi="Arial" w:cs="Arial"/>
          <w:sz w:val="24"/>
          <w:szCs w:val="24"/>
        </w:rPr>
        <w:t>Alongside this</w:t>
      </w:r>
      <w:r w:rsidR="005F48D0">
        <w:rPr>
          <w:rFonts w:ascii="Arial" w:hAnsi="Arial" w:cs="Arial"/>
          <w:sz w:val="24"/>
          <w:szCs w:val="24"/>
        </w:rPr>
        <w:t xml:space="preserve"> our key regeneration schemes in Workington and Maryport have moved forward with further funding awarded to the HAZ Scheme in Maryport </w:t>
      </w:r>
      <w:r w:rsidR="004E2B74">
        <w:rPr>
          <w:rFonts w:ascii="Arial" w:hAnsi="Arial" w:cs="Arial"/>
          <w:sz w:val="24"/>
          <w:szCs w:val="24"/>
        </w:rPr>
        <w:t xml:space="preserve">and </w:t>
      </w:r>
      <w:r w:rsidR="004E2B74" w:rsidRPr="005F48D0">
        <w:rPr>
          <w:rFonts w:ascii="Arial" w:hAnsi="Arial" w:cs="Arial"/>
          <w:sz w:val="24"/>
          <w:szCs w:val="24"/>
        </w:rPr>
        <w:t>Executive</w:t>
      </w:r>
      <w:r w:rsidR="00950837" w:rsidRPr="005F48D0">
        <w:rPr>
          <w:rFonts w:ascii="Arial" w:hAnsi="Arial" w:cs="Arial"/>
          <w:sz w:val="24"/>
          <w:szCs w:val="24"/>
        </w:rPr>
        <w:t xml:space="preserve"> approvin</w:t>
      </w:r>
      <w:r w:rsidR="00950837">
        <w:rPr>
          <w:rFonts w:ascii="Arial" w:hAnsi="Arial" w:cs="Arial"/>
          <w:sz w:val="24"/>
          <w:szCs w:val="24"/>
        </w:rPr>
        <w:t xml:space="preserve">g </w:t>
      </w:r>
      <w:r w:rsidR="00950837" w:rsidRPr="00950837">
        <w:rPr>
          <w:rFonts w:ascii="Arial" w:hAnsi="Arial" w:cs="Arial"/>
          <w:sz w:val="24"/>
          <w:szCs w:val="24"/>
        </w:rPr>
        <w:t>the Workington Town Investment Plan for submission to Government by the end of October</w:t>
      </w:r>
      <w:r w:rsidR="00950837">
        <w:rPr>
          <w:rFonts w:ascii="Arial" w:hAnsi="Arial" w:cs="Arial"/>
          <w:sz w:val="24"/>
          <w:szCs w:val="24"/>
        </w:rPr>
        <w:t xml:space="preserve">.  </w:t>
      </w:r>
      <w:r w:rsidR="005F48D0" w:rsidRPr="005F48D0">
        <w:rPr>
          <w:rFonts w:ascii="Arial" w:hAnsi="Arial" w:cs="Arial"/>
          <w:sz w:val="24"/>
          <w:szCs w:val="24"/>
        </w:rPr>
        <w:t>T</w:t>
      </w:r>
      <w:r w:rsidR="00950837" w:rsidRPr="005F48D0">
        <w:rPr>
          <w:rFonts w:ascii="Arial" w:hAnsi="Arial" w:cs="Arial"/>
          <w:sz w:val="24"/>
          <w:szCs w:val="24"/>
        </w:rPr>
        <w:t xml:space="preserve">here has also been good progress made on green infrastructure and biodiversity projects in our </w:t>
      </w:r>
      <w:r w:rsidR="00950837" w:rsidRPr="005F48D0">
        <w:rPr>
          <w:rFonts w:ascii="Arial" w:hAnsi="Arial" w:cs="Arial"/>
          <w:sz w:val="24"/>
          <w:szCs w:val="24"/>
        </w:rPr>
        <w:lastRenderedPageBreak/>
        <w:t>communities</w:t>
      </w:r>
      <w:r w:rsidR="00A84510">
        <w:rPr>
          <w:rFonts w:ascii="Arial" w:hAnsi="Arial" w:cs="Arial"/>
          <w:sz w:val="24"/>
          <w:szCs w:val="24"/>
        </w:rPr>
        <w:t xml:space="preserve"> and Q2 saw the successful reopening of two of our leisure centres as part of the Phase 1 reopening plans</w:t>
      </w:r>
      <w:r w:rsidRPr="005F48D0">
        <w:rPr>
          <w:rFonts w:ascii="Arial" w:hAnsi="Arial" w:cs="Arial"/>
          <w:sz w:val="24"/>
          <w:szCs w:val="24"/>
        </w:rPr>
        <w:t>.</w:t>
      </w:r>
      <w:r w:rsidR="00A84510" w:rsidRPr="00A84510">
        <w:t xml:space="preserve"> </w:t>
      </w:r>
    </w:p>
    <w:p w14:paraId="5200BE83" w14:textId="6CACBFAF" w:rsidR="00457E7F" w:rsidRPr="005C315D" w:rsidRDefault="00457E7F" w:rsidP="00596057">
      <w:pPr>
        <w:spacing w:after="0" w:line="240" w:lineRule="auto"/>
        <w:ind w:left="-360" w:right="-720"/>
        <w:rPr>
          <w:rFonts w:ascii="Arial" w:hAnsi="Arial" w:cs="Arial"/>
          <w:sz w:val="24"/>
          <w:highlight w:val="yellow"/>
        </w:rPr>
      </w:pPr>
    </w:p>
    <w:p w14:paraId="3A42A039" w14:textId="176F9F29" w:rsidR="00457E7F" w:rsidRDefault="005F48D0" w:rsidP="382E8D17">
      <w:pPr>
        <w:spacing w:after="0" w:line="240" w:lineRule="auto"/>
        <w:ind w:right="-720"/>
        <w:rPr>
          <w:rFonts w:ascii="Arial" w:hAnsi="Arial" w:cs="Arial"/>
          <w:sz w:val="24"/>
          <w:szCs w:val="24"/>
        </w:rPr>
      </w:pPr>
      <w:r w:rsidRPr="005F48D0">
        <w:rPr>
          <w:rFonts w:ascii="Arial" w:hAnsi="Arial" w:cs="Arial"/>
          <w:sz w:val="24"/>
          <w:szCs w:val="24"/>
        </w:rPr>
        <w:t>S</w:t>
      </w:r>
      <w:r w:rsidR="00102495">
        <w:rPr>
          <w:rFonts w:ascii="Arial" w:hAnsi="Arial" w:cs="Arial"/>
          <w:sz w:val="24"/>
          <w:szCs w:val="24"/>
        </w:rPr>
        <w:t>ix</w:t>
      </w:r>
      <w:r w:rsidR="00457E7F" w:rsidRPr="005F48D0">
        <w:rPr>
          <w:rFonts w:ascii="Arial" w:hAnsi="Arial" w:cs="Arial"/>
          <w:sz w:val="24"/>
          <w:szCs w:val="24"/>
        </w:rPr>
        <w:t xml:space="preserve"> projects/activities have seen some delays or issues</w:t>
      </w:r>
      <w:r w:rsidR="00102495">
        <w:rPr>
          <w:rFonts w:ascii="Arial" w:hAnsi="Arial" w:cs="Arial"/>
          <w:sz w:val="24"/>
          <w:szCs w:val="24"/>
        </w:rPr>
        <w:t>,</w:t>
      </w:r>
      <w:r w:rsidR="00457E7F" w:rsidRPr="005F48D0">
        <w:rPr>
          <w:rFonts w:ascii="Arial" w:hAnsi="Arial" w:cs="Arial"/>
          <w:sz w:val="24"/>
          <w:szCs w:val="24"/>
        </w:rPr>
        <w:t xml:space="preserve"> with details given in the report</w:t>
      </w:r>
      <w:r w:rsidRPr="005F48D0">
        <w:rPr>
          <w:rFonts w:ascii="Arial" w:hAnsi="Arial" w:cs="Arial"/>
          <w:sz w:val="24"/>
          <w:szCs w:val="24"/>
        </w:rPr>
        <w:t xml:space="preserve">.  </w:t>
      </w:r>
      <w:r w:rsidR="000C512A" w:rsidRPr="005F48D0">
        <w:rPr>
          <w:rFonts w:ascii="Arial" w:hAnsi="Arial" w:cs="Arial"/>
          <w:sz w:val="24"/>
          <w:szCs w:val="24"/>
        </w:rPr>
        <w:t xml:space="preserve"> </w:t>
      </w:r>
    </w:p>
    <w:p w14:paraId="465E1680" w14:textId="25E09BC6" w:rsidR="00DB1535" w:rsidRDefault="00DB1535" w:rsidP="382E8D17">
      <w:pPr>
        <w:spacing w:after="0" w:line="240" w:lineRule="auto"/>
        <w:ind w:right="-720"/>
        <w:rPr>
          <w:rFonts w:ascii="Arial" w:hAnsi="Arial" w:cs="Arial"/>
          <w:sz w:val="24"/>
          <w:szCs w:val="24"/>
        </w:rPr>
      </w:pPr>
    </w:p>
    <w:p w14:paraId="34C4C017" w14:textId="02104C5F" w:rsidR="00DB1535" w:rsidRDefault="00DB1535" w:rsidP="382E8D17">
      <w:pPr>
        <w:spacing w:after="0" w:line="240" w:lineRule="auto"/>
        <w:ind w:right="-720"/>
        <w:rPr>
          <w:rFonts w:ascii="Arial" w:hAnsi="Arial" w:cs="Arial"/>
          <w:sz w:val="24"/>
          <w:szCs w:val="24"/>
        </w:rPr>
      </w:pPr>
      <w:r>
        <w:rPr>
          <w:rFonts w:ascii="Arial" w:hAnsi="Arial" w:cs="Arial"/>
          <w:sz w:val="24"/>
          <w:szCs w:val="24"/>
        </w:rPr>
        <w:t>The Reedlands Road project has been closed</w:t>
      </w:r>
      <w:r w:rsidR="004E2B74">
        <w:rPr>
          <w:rFonts w:ascii="Arial" w:hAnsi="Arial" w:cs="Arial"/>
          <w:sz w:val="24"/>
          <w:szCs w:val="24"/>
        </w:rPr>
        <w:t xml:space="preserve">.  Following a full options appraisal Executive considered a report outlining the </w:t>
      </w:r>
      <w:r w:rsidR="004E2B74" w:rsidRPr="004E2B74">
        <w:rPr>
          <w:rFonts w:ascii="Arial" w:hAnsi="Arial" w:cs="Arial"/>
          <w:sz w:val="24"/>
          <w:szCs w:val="24"/>
        </w:rPr>
        <w:t>significant increase in capital costs mean</w:t>
      </w:r>
      <w:r w:rsidR="004E2B74">
        <w:rPr>
          <w:rFonts w:ascii="Arial" w:hAnsi="Arial" w:cs="Arial"/>
          <w:sz w:val="24"/>
          <w:szCs w:val="24"/>
        </w:rPr>
        <w:t>ing</w:t>
      </w:r>
      <w:r w:rsidR="004E2B74" w:rsidRPr="004E2B74">
        <w:rPr>
          <w:rFonts w:ascii="Arial" w:hAnsi="Arial" w:cs="Arial"/>
          <w:sz w:val="24"/>
          <w:szCs w:val="24"/>
        </w:rPr>
        <w:t xml:space="preserve"> that the project </w:t>
      </w:r>
      <w:r w:rsidR="004E2B74">
        <w:rPr>
          <w:rFonts w:ascii="Arial" w:hAnsi="Arial" w:cs="Arial"/>
          <w:sz w:val="24"/>
          <w:szCs w:val="24"/>
        </w:rPr>
        <w:t>was</w:t>
      </w:r>
      <w:r w:rsidR="004E2B74" w:rsidRPr="004E2B74">
        <w:rPr>
          <w:rFonts w:ascii="Arial" w:hAnsi="Arial" w:cs="Arial"/>
          <w:sz w:val="24"/>
          <w:szCs w:val="24"/>
        </w:rPr>
        <w:t xml:space="preserve"> forecast to have a net negative impact on the Council's annual revenue budget. </w:t>
      </w:r>
      <w:r w:rsidR="004E2B74">
        <w:rPr>
          <w:rFonts w:ascii="Arial" w:hAnsi="Arial" w:cs="Arial"/>
          <w:sz w:val="24"/>
          <w:szCs w:val="24"/>
        </w:rPr>
        <w:t xml:space="preserve">Based on this Executive have agreed to </w:t>
      </w:r>
      <w:r w:rsidR="004E2B74" w:rsidRPr="004E2B74">
        <w:rPr>
          <w:rFonts w:ascii="Arial" w:hAnsi="Arial" w:cs="Arial"/>
          <w:sz w:val="24"/>
          <w:szCs w:val="24"/>
        </w:rPr>
        <w:t>discontinue</w:t>
      </w:r>
      <w:r w:rsidR="004E2B74">
        <w:rPr>
          <w:rFonts w:ascii="Arial" w:hAnsi="Arial" w:cs="Arial"/>
          <w:sz w:val="24"/>
          <w:szCs w:val="24"/>
        </w:rPr>
        <w:t xml:space="preserve"> the project.  </w:t>
      </w:r>
    </w:p>
    <w:p w14:paraId="3BC21664" w14:textId="77777777" w:rsidR="00596057" w:rsidRDefault="00596057" w:rsidP="00603042">
      <w:pPr>
        <w:spacing w:after="0" w:line="240" w:lineRule="auto"/>
        <w:ind w:right="-720"/>
        <w:rPr>
          <w:rFonts w:ascii="Arial" w:hAnsi="Arial" w:cs="Arial"/>
          <w:sz w:val="24"/>
        </w:rPr>
      </w:pPr>
    </w:p>
    <w:p w14:paraId="53B5AB9C" w14:textId="21FEC9A0" w:rsidR="00BD37B1" w:rsidRPr="0057059A" w:rsidRDefault="00BD37B1" w:rsidP="0057059A">
      <w:pPr>
        <w:pStyle w:val="Heading3"/>
        <w:rPr>
          <w:rFonts w:ascii="Arial" w:hAnsi="Arial" w:cs="Arial"/>
          <w:b/>
          <w:color w:val="auto"/>
          <w:sz w:val="26"/>
          <w:szCs w:val="26"/>
        </w:rPr>
      </w:pPr>
      <w:r w:rsidRPr="0057059A">
        <w:rPr>
          <w:rFonts w:ascii="Arial" w:hAnsi="Arial" w:cs="Arial"/>
          <w:b/>
          <w:color w:val="auto"/>
          <w:sz w:val="26"/>
          <w:szCs w:val="26"/>
        </w:rPr>
        <w:t>Key performance indicators:</w:t>
      </w:r>
    </w:p>
    <w:p w14:paraId="549F3425" w14:textId="08D34BF4" w:rsidR="0060238C" w:rsidRPr="000557AD" w:rsidRDefault="0060238C" w:rsidP="00603042">
      <w:pPr>
        <w:spacing w:before="120" w:after="0" w:line="240" w:lineRule="auto"/>
        <w:ind w:right="-811"/>
        <w:rPr>
          <w:rStyle w:val="normaltextrun"/>
          <w:rFonts w:ascii="Arial" w:hAnsi="Arial" w:cs="Arial"/>
          <w:color w:val="000000"/>
          <w:sz w:val="24"/>
          <w:szCs w:val="20"/>
          <w:shd w:val="clear" w:color="auto" w:fill="FFFFFF"/>
        </w:rPr>
      </w:pPr>
      <w:r>
        <w:rPr>
          <w:rStyle w:val="normaltextrun"/>
          <w:rFonts w:ascii="Arial" w:hAnsi="Arial" w:cs="Arial"/>
          <w:color w:val="000000"/>
          <w:sz w:val="24"/>
          <w:szCs w:val="20"/>
          <w:shd w:val="clear" w:color="auto" w:fill="FFFFFF"/>
        </w:rPr>
        <w:t xml:space="preserve">There </w:t>
      </w:r>
      <w:r w:rsidRPr="000557AD">
        <w:rPr>
          <w:rStyle w:val="normaltextrun"/>
          <w:rFonts w:ascii="Arial" w:hAnsi="Arial" w:cs="Arial"/>
          <w:color w:val="000000"/>
          <w:sz w:val="24"/>
          <w:szCs w:val="20"/>
          <w:shd w:val="clear" w:color="auto" w:fill="FFFFFF"/>
        </w:rPr>
        <w:t xml:space="preserve">are </w:t>
      </w:r>
      <w:r w:rsidRPr="00410129">
        <w:rPr>
          <w:rStyle w:val="normaltextrun"/>
          <w:rFonts w:ascii="Arial" w:hAnsi="Arial" w:cs="Arial"/>
          <w:color w:val="000000"/>
          <w:sz w:val="24"/>
          <w:szCs w:val="20"/>
          <w:shd w:val="clear" w:color="auto" w:fill="FFFFFF"/>
        </w:rPr>
        <w:t>2</w:t>
      </w:r>
      <w:r w:rsidR="00E175E2">
        <w:rPr>
          <w:rStyle w:val="normaltextrun"/>
          <w:rFonts w:ascii="Arial" w:hAnsi="Arial" w:cs="Arial"/>
          <w:color w:val="000000"/>
          <w:sz w:val="24"/>
          <w:szCs w:val="20"/>
          <w:shd w:val="clear" w:color="auto" w:fill="FFFFFF"/>
        </w:rPr>
        <w:t>5</w:t>
      </w:r>
      <w:r w:rsidRPr="00410129">
        <w:rPr>
          <w:rStyle w:val="normaltextrun"/>
          <w:rFonts w:ascii="Arial" w:hAnsi="Arial" w:cs="Arial"/>
          <w:color w:val="000000"/>
          <w:sz w:val="24"/>
          <w:szCs w:val="20"/>
          <w:shd w:val="clear" w:color="auto" w:fill="FFFFFF"/>
        </w:rPr>
        <w:t xml:space="preserve"> pe</w:t>
      </w:r>
      <w:r w:rsidRPr="006C55CC">
        <w:rPr>
          <w:rStyle w:val="normaltextrun"/>
          <w:rFonts w:ascii="Arial" w:hAnsi="Arial" w:cs="Arial"/>
          <w:color w:val="000000"/>
          <w:sz w:val="24"/>
          <w:szCs w:val="20"/>
          <w:shd w:val="clear" w:color="auto" w:fill="FFFFFF"/>
        </w:rPr>
        <w:t>rformance indicators attributed a RAG rating</w:t>
      </w:r>
      <w:r w:rsidRPr="000557AD">
        <w:rPr>
          <w:rStyle w:val="normaltextrun"/>
          <w:rFonts w:ascii="Arial" w:hAnsi="Arial" w:cs="Arial"/>
          <w:color w:val="000000"/>
          <w:sz w:val="24"/>
          <w:szCs w:val="20"/>
          <w:shd w:val="clear" w:color="auto" w:fill="FFFFFF"/>
        </w:rPr>
        <w:t xml:space="preserve"> </w:t>
      </w:r>
      <w:r w:rsidR="00E175E2">
        <w:rPr>
          <w:rStyle w:val="normaltextrun"/>
          <w:rFonts w:ascii="Arial" w:hAnsi="Arial" w:cs="Arial"/>
          <w:color w:val="000000"/>
          <w:sz w:val="24"/>
          <w:szCs w:val="20"/>
          <w:shd w:val="clear" w:color="auto" w:fill="FFFFFF"/>
        </w:rPr>
        <w:t xml:space="preserve">reporting in Q2 </w:t>
      </w:r>
      <w:r w:rsidRPr="000557AD">
        <w:rPr>
          <w:rStyle w:val="normaltextrun"/>
          <w:rFonts w:ascii="Arial" w:hAnsi="Arial" w:cs="Arial"/>
          <w:color w:val="000000"/>
          <w:sz w:val="24"/>
          <w:szCs w:val="20"/>
          <w:shd w:val="clear" w:color="auto" w:fill="FFFFFF"/>
        </w:rPr>
        <w:t>of which:</w:t>
      </w:r>
    </w:p>
    <w:p w14:paraId="0F87182D" w14:textId="4618E15B" w:rsidR="00BD37B1" w:rsidRPr="00E175E2" w:rsidRDefault="00572DCD" w:rsidP="00B24642">
      <w:pPr>
        <w:pStyle w:val="ListParagraph"/>
        <w:numPr>
          <w:ilvl w:val="0"/>
          <w:numId w:val="5"/>
        </w:numPr>
        <w:spacing w:before="40" w:after="0" w:line="240" w:lineRule="auto"/>
        <w:ind w:left="714" w:right="-811" w:hanging="357"/>
        <w:contextualSpacing w:val="0"/>
        <w:rPr>
          <w:rStyle w:val="normaltextrun"/>
          <w:rFonts w:ascii="Arial" w:hAnsi="Arial" w:cs="Arial"/>
          <w:color w:val="000000"/>
          <w:sz w:val="24"/>
          <w:szCs w:val="20"/>
          <w:shd w:val="clear" w:color="auto" w:fill="FFFFFF"/>
        </w:rPr>
      </w:pPr>
      <w:r>
        <w:rPr>
          <w:rStyle w:val="normaltextrun"/>
          <w:rFonts w:ascii="Arial" w:hAnsi="Arial" w:cs="Arial"/>
          <w:color w:val="000000"/>
          <w:sz w:val="24"/>
          <w:szCs w:val="20"/>
          <w:shd w:val="clear" w:color="auto" w:fill="FFFFFF"/>
        </w:rPr>
        <w:t>60</w:t>
      </w:r>
      <w:r w:rsidR="0060238C" w:rsidRPr="00E175E2">
        <w:rPr>
          <w:rStyle w:val="normaltextrun"/>
          <w:rFonts w:ascii="Arial" w:hAnsi="Arial" w:cs="Arial"/>
          <w:color w:val="000000"/>
          <w:sz w:val="24"/>
          <w:szCs w:val="20"/>
          <w:shd w:val="clear" w:color="auto" w:fill="FFFFFF"/>
        </w:rPr>
        <w:t>% were green (on or better than target)</w:t>
      </w:r>
    </w:p>
    <w:p w14:paraId="41C52F91" w14:textId="03D2EB4E" w:rsidR="0060238C" w:rsidRPr="00E175E2" w:rsidRDefault="00E175E2" w:rsidP="00B24642">
      <w:pPr>
        <w:pStyle w:val="ListParagraph"/>
        <w:numPr>
          <w:ilvl w:val="0"/>
          <w:numId w:val="5"/>
        </w:numPr>
        <w:spacing w:before="40" w:after="0" w:line="240" w:lineRule="auto"/>
        <w:ind w:left="714" w:right="-811" w:hanging="357"/>
        <w:contextualSpacing w:val="0"/>
        <w:rPr>
          <w:rStyle w:val="normaltextrun"/>
          <w:rFonts w:ascii="Arial" w:hAnsi="Arial" w:cs="Arial"/>
          <w:color w:val="000000"/>
          <w:sz w:val="24"/>
          <w:szCs w:val="20"/>
          <w:shd w:val="clear" w:color="auto" w:fill="FFFFFF"/>
        </w:rPr>
      </w:pPr>
      <w:r w:rsidRPr="00E175E2">
        <w:rPr>
          <w:rStyle w:val="normaltextrun"/>
          <w:rFonts w:ascii="Arial" w:hAnsi="Arial" w:cs="Arial"/>
          <w:color w:val="000000"/>
          <w:sz w:val="24"/>
          <w:szCs w:val="20"/>
          <w:shd w:val="clear" w:color="auto" w:fill="FFFFFF"/>
        </w:rPr>
        <w:t>36%</w:t>
      </w:r>
      <w:r w:rsidR="0060238C" w:rsidRPr="00E175E2">
        <w:rPr>
          <w:rStyle w:val="normaltextrun"/>
          <w:rFonts w:ascii="Arial" w:hAnsi="Arial" w:cs="Arial"/>
          <w:color w:val="000000"/>
          <w:sz w:val="24"/>
          <w:szCs w:val="20"/>
          <w:shd w:val="clear" w:color="auto" w:fill="FFFFFF"/>
        </w:rPr>
        <w:t xml:space="preserve"> were amber (close to target)</w:t>
      </w:r>
    </w:p>
    <w:p w14:paraId="6B5B7753" w14:textId="1A8BB5E7" w:rsidR="0060238C" w:rsidRPr="00B24642" w:rsidRDefault="00E175E2" w:rsidP="00B24642">
      <w:pPr>
        <w:pStyle w:val="ListParagraph"/>
        <w:numPr>
          <w:ilvl w:val="0"/>
          <w:numId w:val="5"/>
        </w:numPr>
        <w:spacing w:before="40" w:after="0" w:line="240" w:lineRule="auto"/>
        <w:ind w:left="714" w:right="-811" w:hanging="357"/>
        <w:contextualSpacing w:val="0"/>
        <w:rPr>
          <w:rStyle w:val="normaltextrun"/>
          <w:rFonts w:ascii="Arial" w:hAnsi="Arial" w:cs="Arial"/>
          <w:color w:val="000000"/>
          <w:sz w:val="24"/>
          <w:szCs w:val="20"/>
          <w:shd w:val="clear" w:color="auto" w:fill="FFFFFF"/>
        </w:rPr>
      </w:pPr>
      <w:r w:rsidRPr="00E175E2">
        <w:rPr>
          <w:rStyle w:val="normaltextrun"/>
          <w:rFonts w:ascii="Arial" w:hAnsi="Arial" w:cs="Arial"/>
          <w:color w:val="000000"/>
          <w:sz w:val="24"/>
          <w:szCs w:val="20"/>
          <w:shd w:val="clear" w:color="auto" w:fill="FFFFFF"/>
        </w:rPr>
        <w:t>4</w:t>
      </w:r>
      <w:r w:rsidR="00B24642" w:rsidRPr="00E175E2">
        <w:rPr>
          <w:rStyle w:val="normaltextrun"/>
          <w:rFonts w:ascii="Arial" w:hAnsi="Arial" w:cs="Arial"/>
          <w:color w:val="000000"/>
          <w:sz w:val="24"/>
          <w:szCs w:val="20"/>
          <w:shd w:val="clear" w:color="auto" w:fill="FFFFFF"/>
        </w:rPr>
        <w:t>% were</w:t>
      </w:r>
      <w:r w:rsidR="00B24642" w:rsidRPr="006C55CC">
        <w:rPr>
          <w:rStyle w:val="normaltextrun"/>
          <w:rFonts w:ascii="Arial" w:hAnsi="Arial" w:cs="Arial"/>
          <w:color w:val="000000"/>
          <w:sz w:val="24"/>
          <w:szCs w:val="20"/>
          <w:shd w:val="clear" w:color="auto" w:fill="FFFFFF"/>
        </w:rPr>
        <w:t xml:space="preserve"> red (off</w:t>
      </w:r>
      <w:r w:rsidR="00B24642" w:rsidRPr="000557AD">
        <w:rPr>
          <w:rStyle w:val="normaltextrun"/>
          <w:rFonts w:ascii="Arial" w:hAnsi="Arial" w:cs="Arial"/>
          <w:color w:val="000000"/>
          <w:sz w:val="24"/>
          <w:szCs w:val="20"/>
          <w:shd w:val="clear" w:color="auto" w:fill="FFFFFF"/>
        </w:rPr>
        <w:t xml:space="preserve"> target</w:t>
      </w:r>
      <w:r w:rsidR="00B24642" w:rsidRPr="00B24642">
        <w:rPr>
          <w:rStyle w:val="normaltextrun"/>
          <w:rFonts w:ascii="Arial" w:hAnsi="Arial" w:cs="Arial"/>
          <w:color w:val="000000"/>
          <w:sz w:val="24"/>
          <w:szCs w:val="20"/>
          <w:shd w:val="clear" w:color="auto" w:fill="FFFFFF"/>
        </w:rPr>
        <w:t>)</w:t>
      </w:r>
    </w:p>
    <w:p w14:paraId="3CD5B7D4" w14:textId="2D86E8F0" w:rsidR="00B24642" w:rsidRPr="005C315D" w:rsidRDefault="00B24642" w:rsidP="00B24642">
      <w:pPr>
        <w:spacing w:after="0" w:line="240" w:lineRule="auto"/>
        <w:ind w:right="-811"/>
        <w:rPr>
          <w:rStyle w:val="normaltextrun"/>
          <w:rFonts w:ascii="Arial" w:hAnsi="Arial" w:cs="Arial"/>
          <w:color w:val="000000"/>
          <w:sz w:val="24"/>
          <w:szCs w:val="20"/>
          <w:highlight w:val="yellow"/>
          <w:shd w:val="clear" w:color="auto" w:fill="FFFFFF"/>
        </w:rPr>
      </w:pPr>
    </w:p>
    <w:p w14:paraId="429D92F6" w14:textId="533B7BD7" w:rsidR="00410129" w:rsidRDefault="00385192" w:rsidP="00B24642">
      <w:pPr>
        <w:spacing w:after="0" w:line="240" w:lineRule="auto"/>
        <w:ind w:right="-811"/>
        <w:rPr>
          <w:rFonts w:ascii="Arial" w:hAnsi="Arial" w:cs="Arial"/>
          <w:sz w:val="24"/>
          <w:szCs w:val="24"/>
        </w:rPr>
      </w:pPr>
      <w:r>
        <w:rPr>
          <w:rFonts w:ascii="Arial" w:hAnsi="Arial" w:cs="Arial"/>
          <w:sz w:val="24"/>
          <w:szCs w:val="24"/>
        </w:rPr>
        <w:t>Th</w:t>
      </w:r>
      <w:r w:rsidR="00DB1535">
        <w:rPr>
          <w:rFonts w:ascii="Arial" w:hAnsi="Arial" w:cs="Arial"/>
          <w:sz w:val="24"/>
          <w:szCs w:val="24"/>
        </w:rPr>
        <w:t>ere is one i</w:t>
      </w:r>
      <w:r>
        <w:rPr>
          <w:rFonts w:ascii="Arial" w:hAnsi="Arial" w:cs="Arial"/>
          <w:sz w:val="24"/>
          <w:szCs w:val="24"/>
        </w:rPr>
        <w:t>ndicator reporting as off target (red)</w:t>
      </w:r>
      <w:r w:rsidR="00DB1535">
        <w:rPr>
          <w:rFonts w:ascii="Arial" w:hAnsi="Arial" w:cs="Arial"/>
          <w:sz w:val="24"/>
          <w:szCs w:val="24"/>
        </w:rPr>
        <w:t xml:space="preserve"> for Q2.  The p</w:t>
      </w:r>
      <w:r>
        <w:rPr>
          <w:rFonts w:ascii="Arial" w:hAnsi="Arial" w:cs="Arial"/>
          <w:sz w:val="24"/>
          <w:szCs w:val="24"/>
        </w:rPr>
        <w:t>ercentage o</w:t>
      </w:r>
      <w:r w:rsidR="00410129" w:rsidRPr="00410129">
        <w:rPr>
          <w:rFonts w:ascii="Arial" w:hAnsi="Arial" w:cs="Arial"/>
          <w:sz w:val="24"/>
          <w:szCs w:val="24"/>
        </w:rPr>
        <w:t>f successful homeless preventions and relief outcomes</w:t>
      </w:r>
      <w:r w:rsidR="00410129">
        <w:rPr>
          <w:rFonts w:ascii="Arial" w:hAnsi="Arial" w:cs="Arial"/>
          <w:sz w:val="24"/>
          <w:szCs w:val="24"/>
        </w:rPr>
        <w:t xml:space="preserve"> </w:t>
      </w:r>
      <w:r>
        <w:rPr>
          <w:rFonts w:ascii="Arial" w:hAnsi="Arial" w:cs="Arial"/>
          <w:sz w:val="24"/>
          <w:szCs w:val="24"/>
        </w:rPr>
        <w:t>was 43% for Q2 which is below the target of 50%</w:t>
      </w:r>
      <w:r w:rsidR="00DB1535">
        <w:rPr>
          <w:rFonts w:ascii="Arial" w:hAnsi="Arial" w:cs="Arial"/>
          <w:sz w:val="24"/>
          <w:szCs w:val="24"/>
        </w:rPr>
        <w:t xml:space="preserve"> and a drop in performance since Q1.</w:t>
      </w:r>
      <w:r>
        <w:rPr>
          <w:rFonts w:ascii="Arial" w:hAnsi="Arial" w:cs="Arial"/>
          <w:sz w:val="24"/>
          <w:szCs w:val="24"/>
        </w:rPr>
        <w:t xml:space="preserve">  </w:t>
      </w:r>
      <w:r w:rsidR="00CD24CE" w:rsidRPr="00CD24CE">
        <w:rPr>
          <w:rFonts w:ascii="Arial" w:hAnsi="Arial" w:cs="Arial"/>
          <w:sz w:val="24"/>
          <w:szCs w:val="24"/>
        </w:rPr>
        <w:t>This is a consequence of pandemic related activities to take rough sleepers off of the streets and into temporary accommodation. The numbers involved and their often complex support needs have meant that moving people on into more permanent accommodation has impacted this indicator. Additional funding is being sought through the Next Step</w:t>
      </w:r>
      <w:r w:rsidR="00006AD2">
        <w:rPr>
          <w:rFonts w:ascii="Arial" w:hAnsi="Arial" w:cs="Arial"/>
          <w:sz w:val="24"/>
          <w:szCs w:val="24"/>
        </w:rPr>
        <w:t>s</w:t>
      </w:r>
      <w:r w:rsidR="00CD24CE" w:rsidRPr="00CD24CE">
        <w:rPr>
          <w:rFonts w:ascii="Arial" w:hAnsi="Arial" w:cs="Arial"/>
          <w:sz w:val="24"/>
          <w:szCs w:val="24"/>
        </w:rPr>
        <w:t xml:space="preserve"> programme to provide s</w:t>
      </w:r>
      <w:r w:rsidR="00CD24CE">
        <w:rPr>
          <w:rFonts w:ascii="Arial" w:hAnsi="Arial" w:cs="Arial"/>
          <w:sz w:val="24"/>
          <w:szCs w:val="24"/>
        </w:rPr>
        <w:t>olutions for this client group.</w:t>
      </w:r>
    </w:p>
    <w:p w14:paraId="730BD163" w14:textId="77777777" w:rsidR="00CD24CE" w:rsidRDefault="00CD24CE" w:rsidP="00B24642">
      <w:pPr>
        <w:spacing w:after="0" w:line="240" w:lineRule="auto"/>
        <w:ind w:right="-811"/>
        <w:rPr>
          <w:rFonts w:ascii="Arial" w:hAnsi="Arial" w:cs="Arial"/>
          <w:sz w:val="24"/>
          <w:szCs w:val="24"/>
          <w:highlight w:val="yellow"/>
        </w:rPr>
      </w:pPr>
    </w:p>
    <w:p w14:paraId="2525AB37" w14:textId="0C6BE79C" w:rsidR="00DB1535" w:rsidRDefault="00DB1535" w:rsidP="00DB1535">
      <w:pPr>
        <w:spacing w:after="0" w:line="240" w:lineRule="auto"/>
        <w:ind w:right="-811"/>
        <w:rPr>
          <w:rFonts w:ascii="Arial" w:hAnsi="Arial" w:cs="Arial"/>
          <w:sz w:val="24"/>
          <w:szCs w:val="24"/>
        </w:rPr>
      </w:pPr>
      <w:r>
        <w:rPr>
          <w:rFonts w:ascii="Arial" w:hAnsi="Arial" w:cs="Arial"/>
          <w:sz w:val="24"/>
          <w:szCs w:val="24"/>
        </w:rPr>
        <w:t xml:space="preserve">The latest available data for residual household waste collected per household is for Q1 as there is a time lag in verifying this data.  The Q1 performance was below target at 147kg against a target of 129kg. </w:t>
      </w:r>
      <w:r w:rsidRPr="00385192">
        <w:rPr>
          <w:rFonts w:ascii="Arial" w:hAnsi="Arial" w:cs="Arial"/>
          <w:sz w:val="24"/>
          <w:szCs w:val="24"/>
        </w:rPr>
        <w:t xml:space="preserve">The temporary suspension of garden waste </w:t>
      </w:r>
      <w:r>
        <w:rPr>
          <w:rFonts w:ascii="Arial" w:hAnsi="Arial" w:cs="Arial"/>
          <w:sz w:val="24"/>
          <w:szCs w:val="24"/>
        </w:rPr>
        <w:t xml:space="preserve">in Q1 </w:t>
      </w:r>
      <w:r w:rsidRPr="00385192">
        <w:rPr>
          <w:rFonts w:ascii="Arial" w:hAnsi="Arial" w:cs="Arial"/>
          <w:sz w:val="24"/>
          <w:szCs w:val="24"/>
        </w:rPr>
        <w:t xml:space="preserve">allowed AWS management team and collection crews to focus on collecting the extra refuse that had developed from most residents being under lockdown at home. To protect public health during the lockdown the normal practice of </w:t>
      </w:r>
      <w:r w:rsidR="00006AD2">
        <w:rPr>
          <w:rFonts w:ascii="Arial" w:hAnsi="Arial" w:cs="Arial"/>
          <w:sz w:val="24"/>
          <w:szCs w:val="24"/>
        </w:rPr>
        <w:t>not collecting e</w:t>
      </w:r>
      <w:r w:rsidRPr="00385192">
        <w:rPr>
          <w:rFonts w:ascii="Arial" w:hAnsi="Arial" w:cs="Arial"/>
          <w:sz w:val="24"/>
          <w:szCs w:val="24"/>
        </w:rPr>
        <w:t xml:space="preserve">xcess waste </w:t>
      </w:r>
      <w:r w:rsidR="00006AD2">
        <w:rPr>
          <w:rFonts w:ascii="Arial" w:hAnsi="Arial" w:cs="Arial"/>
          <w:sz w:val="24"/>
          <w:szCs w:val="24"/>
        </w:rPr>
        <w:t xml:space="preserve">placed </w:t>
      </w:r>
      <w:r w:rsidRPr="00385192">
        <w:rPr>
          <w:rFonts w:ascii="Arial" w:hAnsi="Arial" w:cs="Arial"/>
          <w:sz w:val="24"/>
          <w:szCs w:val="24"/>
        </w:rPr>
        <w:t>alongside bins was ignored, this excess waste collected has added to our kilograms per h</w:t>
      </w:r>
      <w:r>
        <w:rPr>
          <w:rFonts w:ascii="Arial" w:hAnsi="Arial" w:cs="Arial"/>
          <w:sz w:val="24"/>
          <w:szCs w:val="24"/>
        </w:rPr>
        <w:t>ousehold</w:t>
      </w:r>
      <w:r w:rsidRPr="00385192">
        <w:rPr>
          <w:rFonts w:ascii="Arial" w:hAnsi="Arial" w:cs="Arial"/>
          <w:sz w:val="24"/>
          <w:szCs w:val="24"/>
        </w:rPr>
        <w:t>.</w:t>
      </w:r>
    </w:p>
    <w:p w14:paraId="31262AE8" w14:textId="77777777" w:rsidR="00DB1535" w:rsidRDefault="00DB1535" w:rsidP="00DB1535">
      <w:pPr>
        <w:spacing w:after="0" w:line="240" w:lineRule="auto"/>
        <w:ind w:right="-811"/>
        <w:rPr>
          <w:rFonts w:ascii="Arial" w:hAnsi="Arial" w:cs="Arial"/>
          <w:sz w:val="24"/>
          <w:szCs w:val="24"/>
        </w:rPr>
      </w:pPr>
    </w:p>
    <w:p w14:paraId="71DCE325" w14:textId="39CC2104" w:rsidR="00B24642" w:rsidRPr="00EC6CDF" w:rsidRDefault="00EC6CDF" w:rsidP="00B24642">
      <w:pPr>
        <w:spacing w:after="0" w:line="240" w:lineRule="auto"/>
        <w:ind w:right="-811"/>
        <w:rPr>
          <w:rFonts w:ascii="Arial" w:hAnsi="Arial" w:cs="Arial"/>
          <w:sz w:val="24"/>
          <w:szCs w:val="24"/>
        </w:rPr>
      </w:pPr>
      <w:r w:rsidRPr="004E2B74">
        <w:rPr>
          <w:rFonts w:ascii="Arial" w:hAnsi="Arial" w:cs="Arial"/>
          <w:sz w:val="24"/>
          <w:szCs w:val="24"/>
        </w:rPr>
        <w:t xml:space="preserve">Of the </w:t>
      </w:r>
      <w:r w:rsidR="00DB1535" w:rsidRPr="004E2B74">
        <w:rPr>
          <w:rFonts w:ascii="Arial" w:hAnsi="Arial" w:cs="Arial"/>
          <w:sz w:val="24"/>
          <w:szCs w:val="24"/>
        </w:rPr>
        <w:t>eight</w:t>
      </w:r>
      <w:r w:rsidRPr="004E2B74">
        <w:rPr>
          <w:rFonts w:ascii="Arial" w:hAnsi="Arial" w:cs="Arial"/>
          <w:sz w:val="24"/>
          <w:szCs w:val="24"/>
        </w:rPr>
        <w:t xml:space="preserve"> indicators with</w:t>
      </w:r>
      <w:r w:rsidR="00F77FBA" w:rsidRPr="004E2B74">
        <w:rPr>
          <w:rFonts w:ascii="Arial" w:hAnsi="Arial" w:cs="Arial"/>
          <w:sz w:val="24"/>
          <w:szCs w:val="24"/>
        </w:rPr>
        <w:t xml:space="preserve"> no fixed target figures </w:t>
      </w:r>
      <w:r w:rsidRPr="004E2B74">
        <w:rPr>
          <w:rFonts w:ascii="Arial" w:hAnsi="Arial" w:cs="Arial"/>
          <w:sz w:val="24"/>
          <w:szCs w:val="24"/>
        </w:rPr>
        <w:t>that report</w:t>
      </w:r>
      <w:r w:rsidR="00DB1535" w:rsidRPr="004E2B74">
        <w:rPr>
          <w:rFonts w:ascii="Arial" w:hAnsi="Arial" w:cs="Arial"/>
          <w:sz w:val="24"/>
          <w:szCs w:val="24"/>
        </w:rPr>
        <w:t>ed in Q2</w:t>
      </w:r>
      <w:r w:rsidR="007A3098" w:rsidRPr="004E2B74">
        <w:rPr>
          <w:rFonts w:ascii="Arial" w:hAnsi="Arial" w:cs="Arial"/>
          <w:sz w:val="24"/>
          <w:szCs w:val="24"/>
        </w:rPr>
        <w:t>,</w:t>
      </w:r>
      <w:r w:rsidRPr="004E2B74">
        <w:rPr>
          <w:rFonts w:ascii="Arial" w:hAnsi="Arial" w:cs="Arial"/>
          <w:sz w:val="24"/>
          <w:szCs w:val="24"/>
        </w:rPr>
        <w:t xml:space="preserve"> </w:t>
      </w:r>
      <w:r w:rsidR="00581938">
        <w:rPr>
          <w:rFonts w:ascii="Arial" w:hAnsi="Arial" w:cs="Arial"/>
          <w:sz w:val="24"/>
          <w:szCs w:val="24"/>
        </w:rPr>
        <w:t>six</w:t>
      </w:r>
      <w:r w:rsidR="00F77FBA" w:rsidRPr="004E2B74">
        <w:rPr>
          <w:rFonts w:ascii="Arial" w:hAnsi="Arial" w:cs="Arial"/>
          <w:sz w:val="24"/>
          <w:szCs w:val="24"/>
        </w:rPr>
        <w:t xml:space="preserve"> </w:t>
      </w:r>
      <w:r w:rsidRPr="004E2B74">
        <w:rPr>
          <w:rFonts w:ascii="Arial" w:hAnsi="Arial" w:cs="Arial"/>
          <w:sz w:val="24"/>
          <w:szCs w:val="24"/>
        </w:rPr>
        <w:t>showed a static or improving trend</w:t>
      </w:r>
      <w:r w:rsidR="00A36CE7" w:rsidRPr="004E2B74">
        <w:rPr>
          <w:rFonts w:ascii="Arial" w:hAnsi="Arial" w:cs="Arial"/>
          <w:sz w:val="24"/>
          <w:szCs w:val="24"/>
        </w:rPr>
        <w:t xml:space="preserve"> including </w:t>
      </w:r>
      <w:r w:rsidR="00DB1535" w:rsidRPr="004E2B74">
        <w:rPr>
          <w:rFonts w:ascii="Arial" w:hAnsi="Arial" w:cs="Arial"/>
          <w:sz w:val="24"/>
          <w:szCs w:val="24"/>
        </w:rPr>
        <w:t>incidents of fly tipping.</w:t>
      </w:r>
      <w:r w:rsidR="00F77FBA" w:rsidRPr="004E2B74">
        <w:rPr>
          <w:rFonts w:ascii="Arial" w:hAnsi="Arial" w:cs="Arial"/>
          <w:sz w:val="24"/>
          <w:szCs w:val="24"/>
        </w:rPr>
        <w:t xml:space="preserve">  Those with a worsening trend included</w:t>
      </w:r>
      <w:r w:rsidR="004E2B74" w:rsidRPr="004E2B74">
        <w:rPr>
          <w:rFonts w:ascii="Arial" w:hAnsi="Arial" w:cs="Arial"/>
          <w:sz w:val="24"/>
          <w:szCs w:val="24"/>
        </w:rPr>
        <w:t xml:space="preserve"> the percentage of self-serve digital transactions which showed a fall from Q1 to Q2 as increasing volumes of telephone calls to the Customer Contact Centre were seen in Q2 to report issues or request a service.</w:t>
      </w:r>
    </w:p>
    <w:p w14:paraId="40FF357B" w14:textId="122E69F6" w:rsidR="00B24642" w:rsidRPr="00E65D43" w:rsidRDefault="00B24642" w:rsidP="00E65D43">
      <w:pPr>
        <w:spacing w:after="0" w:line="240" w:lineRule="auto"/>
        <w:ind w:right="-811"/>
        <w:rPr>
          <w:rFonts w:ascii="Arial" w:hAnsi="Arial" w:cs="Arial"/>
        </w:rPr>
      </w:pPr>
    </w:p>
    <w:p w14:paraId="43F31599" w14:textId="77777777" w:rsidR="00E65D43" w:rsidRPr="00E65D43" w:rsidRDefault="00E65D43" w:rsidP="00E65D43">
      <w:pPr>
        <w:spacing w:after="0" w:line="240" w:lineRule="auto"/>
        <w:ind w:right="-806"/>
        <w:rPr>
          <w:rFonts w:ascii="Arial" w:hAnsi="Arial" w:cs="Arial"/>
        </w:rPr>
      </w:pPr>
    </w:p>
    <w:p w14:paraId="1AD1CA36" w14:textId="137AB032" w:rsidR="00B275F1" w:rsidRPr="0057059A" w:rsidRDefault="00B275F1" w:rsidP="0057059A">
      <w:pPr>
        <w:pStyle w:val="Heading2"/>
        <w:spacing w:after="120"/>
        <w:rPr>
          <w:rFonts w:ascii="Arial" w:hAnsi="Arial" w:cs="Arial"/>
          <w:b/>
          <w:color w:val="4472C4" w:themeColor="accent5"/>
          <w:sz w:val="28"/>
          <w:szCs w:val="28"/>
        </w:rPr>
      </w:pPr>
      <w:r w:rsidRPr="0057059A">
        <w:rPr>
          <w:rFonts w:ascii="Arial" w:hAnsi="Arial" w:cs="Arial"/>
          <w:b/>
          <w:color w:val="4472C4" w:themeColor="accent5"/>
          <w:sz w:val="28"/>
          <w:szCs w:val="28"/>
        </w:rPr>
        <w:t>Definitions</w:t>
      </w:r>
    </w:p>
    <w:p w14:paraId="5C7E4D24" w14:textId="19368B6D" w:rsidR="00EC6CDF" w:rsidRPr="00EC6CDF" w:rsidRDefault="00EC6CDF" w:rsidP="00EC6CDF">
      <w:pPr>
        <w:spacing w:after="120" w:line="240" w:lineRule="auto"/>
        <w:ind w:right="-448"/>
        <w:rPr>
          <w:rFonts w:ascii="Arial" w:hAnsi="Arial" w:cs="Arial"/>
          <w:b/>
          <w:szCs w:val="24"/>
          <w:lang w:eastAsia="en-GB"/>
        </w:rPr>
      </w:pPr>
      <w:r w:rsidRPr="00EC6CDF">
        <w:rPr>
          <w:rFonts w:ascii="Arial" w:hAnsi="Arial" w:cs="Arial"/>
          <w:b/>
          <w:szCs w:val="24"/>
          <w:lang w:eastAsia="en-GB"/>
        </w:rPr>
        <w:t>Projects/activities:</w:t>
      </w:r>
    </w:p>
    <w:tbl>
      <w:tblPr>
        <w:tblW w:w="9781" w:type="dxa"/>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892"/>
        <w:gridCol w:w="8889"/>
      </w:tblGrid>
      <w:tr w:rsidR="00EC6CDF" w:rsidRPr="003E48E2" w14:paraId="5E444BAF" w14:textId="77777777" w:rsidTr="00EC6CDF">
        <w:trPr>
          <w:trHeight w:val="575"/>
        </w:trPr>
        <w:tc>
          <w:tcPr>
            <w:tcW w:w="892" w:type="dxa"/>
            <w:shd w:val="clear" w:color="auto" w:fill="92D050"/>
            <w:vAlign w:val="center"/>
          </w:tcPr>
          <w:p w14:paraId="068FFB4E" w14:textId="155DAC90" w:rsidR="00EC6CDF" w:rsidRPr="00B275F1" w:rsidRDefault="00EC6CDF" w:rsidP="00F77FBA">
            <w:pPr>
              <w:spacing w:after="0"/>
              <w:jc w:val="center"/>
              <w:rPr>
                <w:rFonts w:ascii="Arial" w:hAnsi="Arial" w:cs="Arial"/>
                <w:b/>
                <w:sz w:val="20"/>
                <w:szCs w:val="20"/>
                <w:lang w:eastAsia="en-GB"/>
              </w:rPr>
            </w:pPr>
            <w:r w:rsidRPr="00B275F1">
              <w:rPr>
                <w:rFonts w:ascii="Arial" w:hAnsi="Arial" w:cs="Arial"/>
                <w:b/>
                <w:sz w:val="20"/>
                <w:szCs w:val="20"/>
                <w:lang w:eastAsia="en-GB"/>
              </w:rPr>
              <w:t>G</w:t>
            </w:r>
          </w:p>
        </w:tc>
        <w:tc>
          <w:tcPr>
            <w:tcW w:w="8889" w:type="dxa"/>
            <w:shd w:val="clear" w:color="auto" w:fill="auto"/>
            <w:vAlign w:val="center"/>
          </w:tcPr>
          <w:p w14:paraId="5CA88745" w14:textId="77777777" w:rsidR="00EC6CDF" w:rsidRPr="00B275F1" w:rsidRDefault="00EC6CDF" w:rsidP="000557AD">
            <w:pPr>
              <w:spacing w:after="0" w:line="240" w:lineRule="auto"/>
              <w:rPr>
                <w:rFonts w:ascii="Arial" w:hAnsi="Arial" w:cs="Arial"/>
                <w:sz w:val="20"/>
                <w:szCs w:val="20"/>
                <w:lang w:eastAsia="en-GB"/>
              </w:rPr>
            </w:pPr>
            <w:r w:rsidRPr="00B275F1">
              <w:rPr>
                <w:rFonts w:ascii="Arial" w:hAnsi="Arial" w:cs="Arial"/>
                <w:sz w:val="20"/>
                <w:szCs w:val="20"/>
                <w:lang w:eastAsia="en-GB"/>
              </w:rPr>
              <w:t>Everything is on target / satisfactory progress is being made / no action required</w:t>
            </w:r>
          </w:p>
        </w:tc>
      </w:tr>
      <w:tr w:rsidR="00EC6CDF" w:rsidRPr="003E48E2" w14:paraId="2B0BB769" w14:textId="77777777" w:rsidTr="00EC6CDF">
        <w:trPr>
          <w:trHeight w:val="696"/>
        </w:trPr>
        <w:tc>
          <w:tcPr>
            <w:tcW w:w="892" w:type="dxa"/>
            <w:shd w:val="clear" w:color="auto" w:fill="FFC000"/>
            <w:vAlign w:val="center"/>
          </w:tcPr>
          <w:p w14:paraId="7D185FF9" w14:textId="64577FBA" w:rsidR="00EC6CDF" w:rsidRPr="00B275F1" w:rsidRDefault="00EC6CDF" w:rsidP="00F77FBA">
            <w:pPr>
              <w:spacing w:after="0"/>
              <w:jc w:val="center"/>
              <w:rPr>
                <w:rFonts w:ascii="Arial" w:hAnsi="Arial" w:cs="Arial"/>
                <w:b/>
                <w:sz w:val="20"/>
                <w:szCs w:val="20"/>
                <w:lang w:eastAsia="en-GB"/>
              </w:rPr>
            </w:pPr>
            <w:r w:rsidRPr="00B275F1">
              <w:rPr>
                <w:rFonts w:ascii="Arial" w:hAnsi="Arial" w:cs="Arial"/>
                <w:b/>
                <w:sz w:val="20"/>
                <w:szCs w:val="20"/>
                <w:lang w:eastAsia="en-GB"/>
              </w:rPr>
              <w:t>A</w:t>
            </w:r>
          </w:p>
        </w:tc>
        <w:tc>
          <w:tcPr>
            <w:tcW w:w="8889" w:type="dxa"/>
            <w:shd w:val="clear" w:color="auto" w:fill="auto"/>
            <w:vAlign w:val="center"/>
          </w:tcPr>
          <w:p w14:paraId="2B26C6C6" w14:textId="77777777" w:rsidR="00EC6CDF" w:rsidRPr="00B275F1" w:rsidRDefault="00EC6CDF" w:rsidP="000557AD">
            <w:pPr>
              <w:spacing w:after="0" w:line="240" w:lineRule="auto"/>
              <w:rPr>
                <w:rFonts w:ascii="Arial" w:hAnsi="Arial" w:cs="Arial"/>
                <w:sz w:val="20"/>
                <w:szCs w:val="20"/>
                <w:lang w:eastAsia="en-GB"/>
              </w:rPr>
            </w:pPr>
            <w:r w:rsidRPr="00B275F1">
              <w:rPr>
                <w:rFonts w:ascii="Arial" w:hAnsi="Arial" w:cs="Arial"/>
                <w:sz w:val="20"/>
                <w:szCs w:val="20"/>
                <w:lang w:eastAsia="en-GB"/>
              </w:rPr>
              <w:t>There are some concerns over achieving deadlines or outputs  / there are issues to rectify, but plans are in place to get the project back on track</w:t>
            </w:r>
          </w:p>
        </w:tc>
      </w:tr>
      <w:tr w:rsidR="00EC6CDF" w:rsidRPr="003E48E2" w14:paraId="091C120E" w14:textId="77777777" w:rsidTr="00EC6CDF">
        <w:trPr>
          <w:trHeight w:val="625"/>
        </w:trPr>
        <w:tc>
          <w:tcPr>
            <w:tcW w:w="892" w:type="dxa"/>
            <w:shd w:val="clear" w:color="auto" w:fill="C00000"/>
            <w:vAlign w:val="center"/>
          </w:tcPr>
          <w:p w14:paraId="7B87FEEC" w14:textId="07417ED1" w:rsidR="00EC6CDF" w:rsidRPr="00B275F1" w:rsidRDefault="00EC6CDF" w:rsidP="00F77FBA">
            <w:pPr>
              <w:spacing w:after="0"/>
              <w:jc w:val="center"/>
              <w:rPr>
                <w:rFonts w:ascii="Arial" w:hAnsi="Arial" w:cs="Arial"/>
                <w:b/>
                <w:sz w:val="20"/>
                <w:szCs w:val="20"/>
                <w:lang w:eastAsia="en-GB"/>
              </w:rPr>
            </w:pPr>
            <w:r w:rsidRPr="00B275F1">
              <w:rPr>
                <w:rFonts w:ascii="Arial" w:hAnsi="Arial" w:cs="Arial"/>
                <w:b/>
                <w:color w:val="000000" w:themeColor="text1"/>
                <w:sz w:val="20"/>
                <w:szCs w:val="20"/>
                <w:lang w:eastAsia="en-GB"/>
              </w:rPr>
              <w:t>R</w:t>
            </w:r>
          </w:p>
        </w:tc>
        <w:tc>
          <w:tcPr>
            <w:tcW w:w="8889" w:type="dxa"/>
            <w:shd w:val="clear" w:color="auto" w:fill="auto"/>
            <w:vAlign w:val="center"/>
          </w:tcPr>
          <w:p w14:paraId="2B4BA463" w14:textId="77777777" w:rsidR="00EC6CDF" w:rsidRPr="00B275F1" w:rsidRDefault="00EC6CDF" w:rsidP="000557AD">
            <w:pPr>
              <w:spacing w:after="0" w:line="240" w:lineRule="auto"/>
              <w:rPr>
                <w:rFonts w:ascii="Arial" w:hAnsi="Arial" w:cs="Arial"/>
                <w:sz w:val="20"/>
                <w:szCs w:val="20"/>
                <w:lang w:eastAsia="en-GB"/>
              </w:rPr>
            </w:pPr>
            <w:r w:rsidRPr="00B275F1">
              <w:rPr>
                <w:rFonts w:ascii="Arial" w:hAnsi="Arial" w:cs="Arial"/>
                <w:sz w:val="20"/>
                <w:szCs w:val="20"/>
                <w:lang w:eastAsia="en-GB"/>
              </w:rPr>
              <w:t>There are significant concerns over achieving outputs / there is serious slippage in the timetable / there are major issues to rectify</w:t>
            </w:r>
          </w:p>
        </w:tc>
      </w:tr>
      <w:tr w:rsidR="004E2B74" w:rsidRPr="003E48E2" w14:paraId="55DC79ED" w14:textId="77777777" w:rsidTr="004E2B74">
        <w:trPr>
          <w:trHeight w:val="625"/>
        </w:trPr>
        <w:tc>
          <w:tcPr>
            <w:tcW w:w="892" w:type="dxa"/>
            <w:shd w:val="clear" w:color="auto" w:fill="0070C0"/>
            <w:vAlign w:val="center"/>
          </w:tcPr>
          <w:p w14:paraId="3DFC6B8C" w14:textId="4A89C4ED" w:rsidR="004E2B74" w:rsidRPr="00B275F1" w:rsidRDefault="004E2B74" w:rsidP="00F77FBA">
            <w:pPr>
              <w:spacing w:after="0"/>
              <w:jc w:val="center"/>
              <w:rPr>
                <w:rFonts w:ascii="Arial" w:hAnsi="Arial" w:cs="Arial"/>
                <w:b/>
                <w:color w:val="000000" w:themeColor="text1"/>
                <w:sz w:val="20"/>
                <w:szCs w:val="20"/>
                <w:lang w:eastAsia="en-GB"/>
              </w:rPr>
            </w:pPr>
            <w:r>
              <w:rPr>
                <w:rFonts w:ascii="Arial" w:hAnsi="Arial" w:cs="Arial"/>
                <w:b/>
                <w:color w:val="000000" w:themeColor="text1"/>
                <w:sz w:val="20"/>
                <w:szCs w:val="20"/>
                <w:lang w:eastAsia="en-GB"/>
              </w:rPr>
              <w:t>B</w:t>
            </w:r>
          </w:p>
        </w:tc>
        <w:tc>
          <w:tcPr>
            <w:tcW w:w="8889" w:type="dxa"/>
            <w:shd w:val="clear" w:color="auto" w:fill="auto"/>
            <w:vAlign w:val="center"/>
          </w:tcPr>
          <w:p w14:paraId="17B6AB76" w14:textId="562A8E91" w:rsidR="004E2B74" w:rsidRPr="00B275F1" w:rsidRDefault="004E2B74" w:rsidP="000557AD">
            <w:pPr>
              <w:spacing w:after="0" w:line="240" w:lineRule="auto"/>
              <w:rPr>
                <w:rFonts w:ascii="Arial" w:hAnsi="Arial" w:cs="Arial"/>
                <w:sz w:val="20"/>
                <w:szCs w:val="20"/>
                <w:lang w:eastAsia="en-GB"/>
              </w:rPr>
            </w:pPr>
            <w:r>
              <w:rPr>
                <w:rFonts w:ascii="Arial" w:hAnsi="Arial" w:cs="Arial"/>
                <w:sz w:val="20"/>
                <w:szCs w:val="20"/>
                <w:lang w:eastAsia="en-GB"/>
              </w:rPr>
              <w:t>Project closed</w:t>
            </w:r>
          </w:p>
        </w:tc>
      </w:tr>
    </w:tbl>
    <w:p w14:paraId="3E45890A" w14:textId="108DB625" w:rsidR="00EC6CDF" w:rsidRDefault="00EC6CDF" w:rsidP="00603042">
      <w:pPr>
        <w:spacing w:after="120" w:line="240" w:lineRule="auto"/>
        <w:ind w:right="-448"/>
        <w:rPr>
          <w:rFonts w:ascii="Arial" w:hAnsi="Arial" w:cs="Arial"/>
          <w:b/>
          <w:sz w:val="24"/>
          <w:szCs w:val="24"/>
          <w:lang w:eastAsia="en-GB"/>
        </w:rPr>
      </w:pPr>
    </w:p>
    <w:p w14:paraId="27915B45" w14:textId="346371A8" w:rsidR="00EC6CDF" w:rsidRPr="00EC6CDF" w:rsidRDefault="00EC6CDF" w:rsidP="00603042">
      <w:pPr>
        <w:spacing w:after="120" w:line="240" w:lineRule="auto"/>
        <w:ind w:right="-448"/>
        <w:rPr>
          <w:rFonts w:ascii="Arial" w:hAnsi="Arial" w:cs="Arial"/>
          <w:b/>
          <w:szCs w:val="24"/>
          <w:lang w:eastAsia="en-GB"/>
        </w:rPr>
      </w:pPr>
      <w:r w:rsidRPr="00EC6CDF">
        <w:rPr>
          <w:rFonts w:ascii="Arial" w:hAnsi="Arial" w:cs="Arial"/>
          <w:b/>
          <w:szCs w:val="24"/>
          <w:lang w:eastAsia="en-GB"/>
        </w:rPr>
        <w:t>Key performance indicators:</w:t>
      </w:r>
    </w:p>
    <w:tbl>
      <w:tblPr>
        <w:tblW w:w="9781" w:type="dxa"/>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892"/>
        <w:gridCol w:w="5204"/>
        <w:gridCol w:w="236"/>
        <w:gridCol w:w="849"/>
        <w:gridCol w:w="2600"/>
      </w:tblGrid>
      <w:tr w:rsidR="002D290D" w:rsidRPr="003E48E2" w14:paraId="4129B0FE" w14:textId="288A17D5" w:rsidTr="002D290D">
        <w:trPr>
          <w:trHeight w:val="575"/>
        </w:trPr>
        <w:tc>
          <w:tcPr>
            <w:tcW w:w="892" w:type="dxa"/>
            <w:shd w:val="clear" w:color="auto" w:fill="92D050"/>
            <w:vAlign w:val="center"/>
          </w:tcPr>
          <w:p w14:paraId="223B6A50" w14:textId="4701B821" w:rsidR="002D290D" w:rsidRPr="00B275F1" w:rsidRDefault="002D290D" w:rsidP="00F77FBA">
            <w:pPr>
              <w:spacing w:after="0"/>
              <w:jc w:val="center"/>
              <w:rPr>
                <w:rFonts w:ascii="Arial" w:hAnsi="Arial" w:cs="Arial"/>
                <w:b/>
                <w:sz w:val="20"/>
                <w:szCs w:val="20"/>
                <w:lang w:eastAsia="en-GB"/>
              </w:rPr>
            </w:pPr>
            <w:r w:rsidRPr="00B275F1">
              <w:rPr>
                <w:rFonts w:ascii="Arial" w:hAnsi="Arial" w:cs="Arial"/>
                <w:b/>
                <w:sz w:val="20"/>
                <w:szCs w:val="20"/>
                <w:lang w:eastAsia="en-GB"/>
              </w:rPr>
              <w:t>G</w:t>
            </w:r>
          </w:p>
        </w:tc>
        <w:tc>
          <w:tcPr>
            <w:tcW w:w="5204" w:type="dxa"/>
            <w:vAlign w:val="center"/>
          </w:tcPr>
          <w:p w14:paraId="71C5826E" w14:textId="77777777" w:rsidR="002D290D" w:rsidRPr="00B275F1" w:rsidRDefault="002D290D" w:rsidP="00603042">
            <w:pPr>
              <w:spacing w:after="0" w:line="240" w:lineRule="auto"/>
              <w:rPr>
                <w:rFonts w:ascii="Arial" w:hAnsi="Arial" w:cs="Arial"/>
                <w:sz w:val="20"/>
                <w:szCs w:val="20"/>
                <w:lang w:eastAsia="en-GB"/>
              </w:rPr>
            </w:pPr>
            <w:r w:rsidRPr="00B275F1">
              <w:rPr>
                <w:rFonts w:ascii="Arial" w:hAnsi="Arial" w:cs="Arial"/>
                <w:sz w:val="20"/>
                <w:szCs w:val="20"/>
                <w:lang w:eastAsia="en-GB"/>
              </w:rPr>
              <w:t>On, or better than, target</w:t>
            </w:r>
          </w:p>
        </w:tc>
        <w:tc>
          <w:tcPr>
            <w:tcW w:w="236" w:type="dxa"/>
            <w:tcBorders>
              <w:top w:val="nil"/>
              <w:bottom w:val="nil"/>
            </w:tcBorders>
          </w:tcPr>
          <w:p w14:paraId="24DFFFD4" w14:textId="77777777" w:rsidR="002D290D" w:rsidRPr="002D290D" w:rsidRDefault="002D290D" w:rsidP="00F77FBA">
            <w:pPr>
              <w:spacing w:after="0" w:line="240" w:lineRule="auto"/>
              <w:jc w:val="center"/>
              <w:rPr>
                <w:rFonts w:ascii="Wingdings 3" w:eastAsia="Wingdings 3" w:hAnsi="Wingdings 3" w:cs="Wingdings 3"/>
                <w:sz w:val="16"/>
                <w:szCs w:val="16"/>
              </w:rPr>
            </w:pPr>
          </w:p>
        </w:tc>
        <w:tc>
          <w:tcPr>
            <w:tcW w:w="849" w:type="dxa"/>
            <w:vAlign w:val="center"/>
          </w:tcPr>
          <w:p w14:paraId="7557429D" w14:textId="69816A82" w:rsidR="002D290D" w:rsidRPr="00B275F1" w:rsidRDefault="002D290D" w:rsidP="00F77FBA">
            <w:pPr>
              <w:spacing w:after="0" w:line="240" w:lineRule="auto"/>
              <w:jc w:val="center"/>
              <w:rPr>
                <w:rFonts w:ascii="Arial" w:hAnsi="Arial" w:cs="Arial"/>
                <w:sz w:val="20"/>
                <w:szCs w:val="20"/>
                <w:lang w:eastAsia="en-GB"/>
              </w:rPr>
            </w:pPr>
            <w:r w:rsidRPr="00E14EFF">
              <w:rPr>
                <w:rFonts w:ascii="Wingdings 3" w:eastAsia="Wingdings 3" w:hAnsi="Wingdings 3" w:cs="Wingdings 3"/>
                <w:sz w:val="32"/>
                <w:szCs w:val="21"/>
              </w:rPr>
              <w:t></w:t>
            </w:r>
          </w:p>
        </w:tc>
        <w:tc>
          <w:tcPr>
            <w:tcW w:w="2600" w:type="dxa"/>
            <w:vAlign w:val="center"/>
          </w:tcPr>
          <w:p w14:paraId="54C114C1" w14:textId="2F4846FE" w:rsidR="002D290D" w:rsidRDefault="002D290D" w:rsidP="00F77FBA">
            <w:pPr>
              <w:spacing w:after="0" w:line="240" w:lineRule="auto"/>
              <w:rPr>
                <w:rFonts w:ascii="Arial" w:hAnsi="Arial" w:cs="Arial"/>
                <w:sz w:val="20"/>
                <w:szCs w:val="20"/>
                <w:lang w:eastAsia="en-GB"/>
              </w:rPr>
            </w:pPr>
            <w:r>
              <w:rPr>
                <w:rFonts w:ascii="Arial" w:hAnsi="Arial" w:cs="Arial"/>
                <w:sz w:val="20"/>
                <w:szCs w:val="20"/>
                <w:lang w:eastAsia="en-GB"/>
              </w:rPr>
              <w:t>Improving trend</w:t>
            </w:r>
          </w:p>
        </w:tc>
      </w:tr>
      <w:tr w:rsidR="002D290D" w:rsidRPr="003E48E2" w14:paraId="233140AD" w14:textId="14AAADAC" w:rsidTr="002D290D">
        <w:trPr>
          <w:trHeight w:val="696"/>
        </w:trPr>
        <w:tc>
          <w:tcPr>
            <w:tcW w:w="892" w:type="dxa"/>
            <w:shd w:val="clear" w:color="auto" w:fill="FFC000"/>
            <w:vAlign w:val="center"/>
          </w:tcPr>
          <w:p w14:paraId="7777E400" w14:textId="4CCD6098" w:rsidR="002D290D" w:rsidRPr="00B275F1" w:rsidRDefault="002D290D" w:rsidP="00F77FBA">
            <w:pPr>
              <w:spacing w:after="0"/>
              <w:jc w:val="center"/>
              <w:rPr>
                <w:rFonts w:ascii="Arial" w:hAnsi="Arial" w:cs="Arial"/>
                <w:b/>
                <w:sz w:val="20"/>
                <w:szCs w:val="20"/>
                <w:lang w:eastAsia="en-GB"/>
              </w:rPr>
            </w:pPr>
            <w:r w:rsidRPr="00B275F1">
              <w:rPr>
                <w:rFonts w:ascii="Arial" w:hAnsi="Arial" w:cs="Arial"/>
                <w:b/>
                <w:sz w:val="20"/>
                <w:szCs w:val="20"/>
                <w:lang w:eastAsia="en-GB"/>
              </w:rPr>
              <w:t>A</w:t>
            </w:r>
          </w:p>
        </w:tc>
        <w:tc>
          <w:tcPr>
            <w:tcW w:w="5204" w:type="dxa"/>
            <w:vAlign w:val="center"/>
          </w:tcPr>
          <w:p w14:paraId="47E7D05C" w14:textId="63486D74" w:rsidR="002D290D" w:rsidRPr="00B275F1" w:rsidRDefault="002D290D" w:rsidP="00603042">
            <w:pPr>
              <w:spacing w:after="0" w:line="240" w:lineRule="auto"/>
              <w:rPr>
                <w:rFonts w:ascii="Arial" w:hAnsi="Arial" w:cs="Arial"/>
                <w:sz w:val="20"/>
                <w:szCs w:val="20"/>
                <w:lang w:eastAsia="en-GB"/>
              </w:rPr>
            </w:pPr>
            <w:r>
              <w:rPr>
                <w:rFonts w:ascii="Arial" w:hAnsi="Arial" w:cs="Arial"/>
                <w:sz w:val="20"/>
                <w:szCs w:val="20"/>
                <w:lang w:eastAsia="en-GB"/>
              </w:rPr>
              <w:t xml:space="preserve">Close to </w:t>
            </w:r>
            <w:r w:rsidRPr="00B275F1">
              <w:rPr>
                <w:rFonts w:ascii="Arial" w:hAnsi="Arial" w:cs="Arial"/>
                <w:sz w:val="20"/>
                <w:szCs w:val="20"/>
                <w:lang w:eastAsia="en-GB"/>
              </w:rPr>
              <w:t>target (up to 10% variance) - some action may be required to improve performance</w:t>
            </w:r>
          </w:p>
        </w:tc>
        <w:tc>
          <w:tcPr>
            <w:tcW w:w="236" w:type="dxa"/>
            <w:tcBorders>
              <w:top w:val="nil"/>
              <w:bottom w:val="nil"/>
            </w:tcBorders>
          </w:tcPr>
          <w:p w14:paraId="6304634F" w14:textId="77777777" w:rsidR="002D290D" w:rsidRPr="002D290D" w:rsidRDefault="002D290D" w:rsidP="00F77FBA">
            <w:pPr>
              <w:spacing w:after="0" w:line="240" w:lineRule="auto"/>
              <w:jc w:val="center"/>
              <w:rPr>
                <w:rFonts w:ascii="Wingdings 3" w:eastAsia="Wingdings 3" w:hAnsi="Wingdings 3" w:cs="Wingdings 3"/>
                <w:sz w:val="16"/>
                <w:szCs w:val="16"/>
              </w:rPr>
            </w:pPr>
          </w:p>
        </w:tc>
        <w:tc>
          <w:tcPr>
            <w:tcW w:w="849" w:type="dxa"/>
            <w:vAlign w:val="center"/>
          </w:tcPr>
          <w:p w14:paraId="11C4E097" w14:textId="7FBF253C" w:rsidR="002D290D" w:rsidRDefault="002D290D" w:rsidP="00F77FBA">
            <w:pPr>
              <w:spacing w:after="0" w:line="240" w:lineRule="auto"/>
              <w:jc w:val="center"/>
              <w:rPr>
                <w:rFonts w:ascii="Arial" w:hAnsi="Arial" w:cs="Arial"/>
                <w:sz w:val="20"/>
                <w:szCs w:val="20"/>
                <w:lang w:eastAsia="en-GB"/>
              </w:rPr>
            </w:pPr>
            <w:r w:rsidRPr="00E14EFF">
              <w:rPr>
                <w:rFonts w:ascii="Wingdings 3" w:eastAsia="Wingdings 3" w:hAnsi="Wingdings 3" w:cs="Wingdings 3"/>
                <w:sz w:val="32"/>
                <w:szCs w:val="21"/>
              </w:rPr>
              <w:t></w:t>
            </w:r>
          </w:p>
        </w:tc>
        <w:tc>
          <w:tcPr>
            <w:tcW w:w="2600" w:type="dxa"/>
            <w:vAlign w:val="center"/>
          </w:tcPr>
          <w:p w14:paraId="72D56CF5" w14:textId="4B937E6B" w:rsidR="002D290D" w:rsidRDefault="002D290D" w:rsidP="00F77FBA">
            <w:pPr>
              <w:spacing w:after="0" w:line="240" w:lineRule="auto"/>
              <w:rPr>
                <w:rFonts w:ascii="Arial" w:hAnsi="Arial" w:cs="Arial"/>
                <w:sz w:val="20"/>
                <w:szCs w:val="20"/>
                <w:lang w:eastAsia="en-GB"/>
              </w:rPr>
            </w:pPr>
            <w:r>
              <w:rPr>
                <w:rFonts w:ascii="Arial" w:hAnsi="Arial" w:cs="Arial"/>
                <w:sz w:val="20"/>
                <w:szCs w:val="20"/>
                <w:lang w:eastAsia="en-GB"/>
              </w:rPr>
              <w:t xml:space="preserve">No change </w:t>
            </w:r>
          </w:p>
        </w:tc>
      </w:tr>
      <w:tr w:rsidR="002D290D" w:rsidRPr="003E48E2" w14:paraId="1B75B486" w14:textId="1E5DA0A4" w:rsidTr="002D290D">
        <w:trPr>
          <w:trHeight w:val="625"/>
        </w:trPr>
        <w:tc>
          <w:tcPr>
            <w:tcW w:w="892" w:type="dxa"/>
            <w:shd w:val="clear" w:color="auto" w:fill="C00000"/>
            <w:vAlign w:val="center"/>
          </w:tcPr>
          <w:p w14:paraId="338AEBDD" w14:textId="486377AD" w:rsidR="002D290D" w:rsidRPr="00B275F1" w:rsidRDefault="002D290D" w:rsidP="00F77FBA">
            <w:pPr>
              <w:spacing w:after="0"/>
              <w:jc w:val="center"/>
              <w:rPr>
                <w:rFonts w:ascii="Arial" w:hAnsi="Arial" w:cs="Arial"/>
                <w:b/>
                <w:sz w:val="20"/>
                <w:szCs w:val="20"/>
                <w:lang w:eastAsia="en-GB"/>
              </w:rPr>
            </w:pPr>
            <w:r w:rsidRPr="00B275F1">
              <w:rPr>
                <w:rFonts w:ascii="Arial" w:hAnsi="Arial" w:cs="Arial"/>
                <w:b/>
                <w:color w:val="000000" w:themeColor="text1"/>
                <w:sz w:val="20"/>
                <w:szCs w:val="20"/>
                <w:lang w:eastAsia="en-GB"/>
              </w:rPr>
              <w:t>R</w:t>
            </w:r>
          </w:p>
        </w:tc>
        <w:tc>
          <w:tcPr>
            <w:tcW w:w="5204" w:type="dxa"/>
            <w:vAlign w:val="center"/>
          </w:tcPr>
          <w:p w14:paraId="28C4A835" w14:textId="1A45116E" w:rsidR="002D290D" w:rsidRPr="00B275F1" w:rsidRDefault="002D290D" w:rsidP="00B24642">
            <w:pPr>
              <w:spacing w:after="0" w:line="240" w:lineRule="auto"/>
              <w:rPr>
                <w:rFonts w:ascii="Arial" w:hAnsi="Arial" w:cs="Arial"/>
                <w:sz w:val="20"/>
                <w:szCs w:val="20"/>
                <w:lang w:eastAsia="en-GB"/>
              </w:rPr>
            </w:pPr>
            <w:r>
              <w:rPr>
                <w:rFonts w:ascii="Arial" w:hAnsi="Arial" w:cs="Arial"/>
                <w:sz w:val="20"/>
                <w:szCs w:val="20"/>
                <w:lang w:eastAsia="en-GB"/>
              </w:rPr>
              <w:t>Off</w:t>
            </w:r>
            <w:r w:rsidRPr="00B275F1">
              <w:rPr>
                <w:rFonts w:ascii="Arial" w:hAnsi="Arial" w:cs="Arial"/>
                <w:sz w:val="20"/>
                <w:szCs w:val="20"/>
                <w:lang w:eastAsia="en-GB"/>
              </w:rPr>
              <w:t xml:space="preserve"> target (&gt;10% variance) – action required to improve performance</w:t>
            </w:r>
          </w:p>
        </w:tc>
        <w:tc>
          <w:tcPr>
            <w:tcW w:w="236" w:type="dxa"/>
            <w:tcBorders>
              <w:top w:val="nil"/>
              <w:bottom w:val="nil"/>
            </w:tcBorders>
          </w:tcPr>
          <w:p w14:paraId="18E5006A" w14:textId="77777777" w:rsidR="002D290D" w:rsidRPr="002D290D" w:rsidRDefault="002D290D" w:rsidP="00F77FBA">
            <w:pPr>
              <w:spacing w:after="0" w:line="240" w:lineRule="auto"/>
              <w:jc w:val="center"/>
              <w:rPr>
                <w:rFonts w:ascii="Wingdings 3" w:eastAsia="Wingdings 3" w:hAnsi="Wingdings 3" w:cs="Wingdings 3"/>
                <w:sz w:val="16"/>
                <w:szCs w:val="16"/>
              </w:rPr>
            </w:pPr>
          </w:p>
        </w:tc>
        <w:tc>
          <w:tcPr>
            <w:tcW w:w="849" w:type="dxa"/>
            <w:vAlign w:val="center"/>
          </w:tcPr>
          <w:p w14:paraId="326221F1" w14:textId="24C0F0DC" w:rsidR="002D290D" w:rsidRDefault="002D290D" w:rsidP="00F77FBA">
            <w:pPr>
              <w:spacing w:after="0" w:line="240" w:lineRule="auto"/>
              <w:jc w:val="center"/>
              <w:rPr>
                <w:rFonts w:ascii="Arial" w:hAnsi="Arial" w:cs="Arial"/>
                <w:sz w:val="20"/>
                <w:szCs w:val="20"/>
                <w:lang w:eastAsia="en-GB"/>
              </w:rPr>
            </w:pPr>
            <w:r w:rsidRPr="00E14EFF">
              <w:rPr>
                <w:rFonts w:ascii="Wingdings 3" w:eastAsia="Wingdings 3" w:hAnsi="Wingdings 3" w:cs="Wingdings 3"/>
                <w:sz w:val="32"/>
                <w:szCs w:val="21"/>
              </w:rPr>
              <w:t></w:t>
            </w:r>
          </w:p>
        </w:tc>
        <w:tc>
          <w:tcPr>
            <w:tcW w:w="2600" w:type="dxa"/>
            <w:vAlign w:val="center"/>
          </w:tcPr>
          <w:p w14:paraId="08E865F9" w14:textId="45C1A3D7" w:rsidR="002D290D" w:rsidRDefault="002D290D" w:rsidP="00F77FBA">
            <w:pPr>
              <w:spacing w:after="0" w:line="240" w:lineRule="auto"/>
              <w:rPr>
                <w:rFonts w:ascii="Arial" w:hAnsi="Arial" w:cs="Arial"/>
                <w:sz w:val="20"/>
                <w:szCs w:val="20"/>
                <w:lang w:eastAsia="en-GB"/>
              </w:rPr>
            </w:pPr>
            <w:r>
              <w:rPr>
                <w:rFonts w:ascii="Arial" w:hAnsi="Arial" w:cs="Arial"/>
                <w:sz w:val="20"/>
                <w:szCs w:val="20"/>
                <w:lang w:eastAsia="en-GB"/>
              </w:rPr>
              <w:t>Getting worse</w:t>
            </w:r>
          </w:p>
        </w:tc>
      </w:tr>
    </w:tbl>
    <w:p w14:paraId="14C9C2C2" w14:textId="4D03230B" w:rsidR="00A36CE7" w:rsidRPr="00E14EFF" w:rsidRDefault="00A36CE7" w:rsidP="000557AD">
      <w:pPr>
        <w:tabs>
          <w:tab w:val="left" w:pos="1134"/>
        </w:tabs>
        <w:spacing w:before="40"/>
        <w:rPr>
          <w:rFonts w:ascii="Arial" w:hAnsi="Arial" w:cs="Arial"/>
          <w:bCs/>
          <w:sz w:val="20"/>
          <w:szCs w:val="20"/>
        </w:rPr>
      </w:pPr>
      <w:r w:rsidRPr="00E14EFF">
        <w:rPr>
          <w:rFonts w:ascii="Arial" w:hAnsi="Arial" w:cs="Arial"/>
          <w:bCs/>
          <w:sz w:val="20"/>
          <w:szCs w:val="20"/>
        </w:rPr>
        <w:t xml:space="preserve">Note: Trend is compared to previous quarter or in </w:t>
      </w:r>
      <w:r w:rsidR="000A4573">
        <w:rPr>
          <w:rFonts w:ascii="Arial" w:hAnsi="Arial" w:cs="Arial"/>
          <w:bCs/>
          <w:sz w:val="20"/>
          <w:szCs w:val="20"/>
        </w:rPr>
        <w:t>a few</w:t>
      </w:r>
      <w:r w:rsidRPr="00E14EFF">
        <w:rPr>
          <w:rFonts w:ascii="Arial" w:hAnsi="Arial" w:cs="Arial"/>
          <w:bCs/>
          <w:sz w:val="20"/>
          <w:szCs w:val="20"/>
        </w:rPr>
        <w:t xml:space="preserve"> cases same quarter in the previous year.</w:t>
      </w:r>
    </w:p>
    <w:p w14:paraId="5C121911" w14:textId="166CC374" w:rsidR="009E3140" w:rsidRDefault="009E3140" w:rsidP="00F77FBA">
      <w:pPr>
        <w:rPr>
          <w:rFonts w:ascii="Arial" w:hAnsi="Arial" w:cs="Arial"/>
          <w:b/>
          <w:sz w:val="26"/>
          <w:szCs w:val="26"/>
        </w:rPr>
        <w:sectPr w:rsidR="009E3140" w:rsidSect="00603042">
          <w:headerReference w:type="even" r:id="rId12"/>
          <w:headerReference w:type="default" r:id="rId13"/>
          <w:footerReference w:type="even" r:id="rId14"/>
          <w:footerReference w:type="default" r:id="rId15"/>
          <w:headerReference w:type="first" r:id="rId16"/>
          <w:footerReference w:type="first" r:id="rId17"/>
          <w:pgSz w:w="11907" w:h="16839" w:code="9"/>
          <w:pgMar w:top="1170" w:right="1440" w:bottom="851" w:left="993" w:header="720" w:footer="466" w:gutter="0"/>
          <w:cols w:space="720"/>
          <w:docGrid w:linePitch="360"/>
        </w:sectPr>
      </w:pPr>
    </w:p>
    <w:p w14:paraId="24463A74" w14:textId="25BCEE63" w:rsidR="009E3140" w:rsidRPr="0057059A" w:rsidRDefault="009E3140" w:rsidP="0057059A">
      <w:pPr>
        <w:pStyle w:val="Heading1"/>
        <w:jc w:val="left"/>
        <w:rPr>
          <w:b/>
          <w:i w:val="0"/>
          <w:color w:val="E68C36"/>
          <w:sz w:val="56"/>
          <w:szCs w:val="56"/>
        </w:rPr>
      </w:pPr>
      <w:r w:rsidRPr="0057059A">
        <w:rPr>
          <w:b/>
          <w:i w:val="0"/>
          <w:color w:val="E68C36"/>
          <w:sz w:val="56"/>
          <w:szCs w:val="56"/>
        </w:rPr>
        <w:lastRenderedPageBreak/>
        <w:t>A financially secure council</w:t>
      </w:r>
    </w:p>
    <w:p w14:paraId="79442457" w14:textId="353D28E4" w:rsidR="00B275F1" w:rsidRDefault="009E3140" w:rsidP="009E3140">
      <w:pPr>
        <w:rPr>
          <w:rFonts w:ascii="Arial" w:hAnsi="Arial" w:cs="Arial"/>
          <w:b/>
          <w:sz w:val="26"/>
          <w:szCs w:val="26"/>
        </w:rPr>
      </w:pPr>
      <w:r w:rsidRPr="003A3380">
        <w:rPr>
          <w:rFonts w:ascii="Arial" w:hAnsi="Arial" w:cs="Arial"/>
          <w:b/>
          <w:bCs/>
          <w:sz w:val="28"/>
          <w:szCs w:val="20"/>
        </w:rPr>
        <w:t xml:space="preserve">Our objectives: </w:t>
      </w:r>
      <w:r w:rsidRPr="004A1F73">
        <w:rPr>
          <w:rFonts w:ascii="Arial" w:hAnsi="Arial" w:cs="Arial"/>
          <w:bCs/>
          <w:sz w:val="24"/>
          <w:szCs w:val="20"/>
        </w:rPr>
        <w:t>Address the projected budget gap</w:t>
      </w:r>
      <w:r>
        <w:rPr>
          <w:rFonts w:ascii="Arial" w:hAnsi="Arial" w:cs="Arial"/>
          <w:bCs/>
          <w:sz w:val="24"/>
          <w:szCs w:val="20"/>
        </w:rPr>
        <w:t xml:space="preserve">  </w:t>
      </w:r>
      <w:r>
        <w:rPr>
          <w:rFonts w:ascii="Symbol" w:eastAsia="Symbol" w:hAnsi="Symbol" w:cs="Symbol"/>
          <w:bCs/>
          <w:sz w:val="24"/>
          <w:szCs w:val="20"/>
        </w:rPr>
        <w:t></w:t>
      </w:r>
      <w:r>
        <w:rPr>
          <w:rFonts w:ascii="Arial" w:hAnsi="Arial" w:cs="Arial"/>
          <w:bCs/>
          <w:sz w:val="24"/>
          <w:szCs w:val="20"/>
        </w:rPr>
        <w:t xml:space="preserve">  </w:t>
      </w:r>
      <w:r w:rsidRPr="004A1F73">
        <w:rPr>
          <w:rFonts w:ascii="Arial" w:hAnsi="Arial" w:cs="Arial"/>
          <w:bCs/>
          <w:sz w:val="24"/>
          <w:szCs w:val="20"/>
        </w:rPr>
        <w:t>Become self-sufficient by 2030</w:t>
      </w:r>
      <w:r>
        <w:rPr>
          <w:rFonts w:ascii="Arial" w:hAnsi="Arial" w:cs="Arial"/>
          <w:bCs/>
          <w:sz w:val="24"/>
          <w:szCs w:val="20"/>
        </w:rPr>
        <w:t xml:space="preserve">  </w:t>
      </w:r>
      <w:r>
        <w:rPr>
          <w:rFonts w:ascii="Symbol" w:eastAsia="Symbol" w:hAnsi="Symbol" w:cs="Symbol"/>
          <w:bCs/>
          <w:sz w:val="24"/>
          <w:szCs w:val="20"/>
        </w:rPr>
        <w:t></w:t>
      </w:r>
      <w:r>
        <w:rPr>
          <w:rFonts w:ascii="Arial" w:hAnsi="Arial" w:cs="Arial"/>
          <w:bCs/>
          <w:sz w:val="24"/>
          <w:szCs w:val="20"/>
        </w:rPr>
        <w:t xml:space="preserve">  </w:t>
      </w:r>
      <w:r w:rsidRPr="004A1F73">
        <w:rPr>
          <w:rFonts w:ascii="Arial" w:hAnsi="Arial" w:cs="Arial"/>
          <w:bCs/>
          <w:sz w:val="24"/>
          <w:szCs w:val="20"/>
        </w:rPr>
        <w:t>Become more commercial</w:t>
      </w:r>
      <w:r>
        <w:rPr>
          <w:rFonts w:ascii="Arial" w:hAnsi="Arial" w:cs="Arial"/>
          <w:bCs/>
          <w:sz w:val="24"/>
          <w:szCs w:val="20"/>
        </w:rPr>
        <w:t xml:space="preserve">  </w:t>
      </w:r>
      <w:r>
        <w:rPr>
          <w:rFonts w:ascii="Symbol" w:eastAsia="Symbol" w:hAnsi="Symbol" w:cs="Symbol"/>
          <w:bCs/>
          <w:sz w:val="24"/>
          <w:szCs w:val="20"/>
        </w:rPr>
        <w:t></w:t>
      </w:r>
      <w:r>
        <w:rPr>
          <w:rFonts w:ascii="Arial" w:hAnsi="Arial" w:cs="Arial"/>
          <w:bCs/>
          <w:sz w:val="24"/>
          <w:szCs w:val="20"/>
        </w:rPr>
        <w:t xml:space="preserve">  Become more </w:t>
      </w:r>
      <w:r w:rsidRPr="004A1F73">
        <w:rPr>
          <w:rFonts w:ascii="Arial" w:hAnsi="Arial" w:cs="Arial"/>
          <w:bCs/>
          <w:sz w:val="24"/>
          <w:szCs w:val="20"/>
        </w:rPr>
        <w:t>efficient and productive</w:t>
      </w:r>
    </w:p>
    <w:tbl>
      <w:tblPr>
        <w:tblStyle w:val="TableGrid"/>
        <w:tblW w:w="15304" w:type="dxa"/>
        <w:tblLook w:val="04A0" w:firstRow="1" w:lastRow="0" w:firstColumn="1" w:lastColumn="0" w:noHBand="0" w:noVBand="1"/>
      </w:tblPr>
      <w:tblGrid>
        <w:gridCol w:w="4309"/>
        <w:gridCol w:w="1413"/>
        <w:gridCol w:w="1525"/>
        <w:gridCol w:w="864"/>
        <w:gridCol w:w="864"/>
        <w:gridCol w:w="6329"/>
      </w:tblGrid>
      <w:tr w:rsidR="009C3901" w:rsidRPr="00BF4D99" w14:paraId="504A706A" w14:textId="43A6E3F5" w:rsidTr="009C3901">
        <w:trPr>
          <w:tblHeader/>
        </w:trPr>
        <w:tc>
          <w:tcPr>
            <w:tcW w:w="4309" w:type="dxa"/>
            <w:shd w:val="clear" w:color="auto" w:fill="E68C36"/>
          </w:tcPr>
          <w:p w14:paraId="0A1F9D57" w14:textId="6062E510" w:rsidR="009C3901" w:rsidRPr="004909F0" w:rsidRDefault="009C3901" w:rsidP="004909F0">
            <w:pPr>
              <w:rPr>
                <w:rFonts w:ascii="Arial" w:hAnsi="Arial" w:cs="Arial"/>
                <w:b/>
                <w:color w:val="FFFFFF" w:themeColor="background1"/>
              </w:rPr>
            </w:pPr>
            <w:r w:rsidRPr="004909F0">
              <w:rPr>
                <w:rFonts w:ascii="Arial" w:hAnsi="Arial" w:cs="Arial"/>
                <w:b/>
                <w:color w:val="FFFFFF" w:themeColor="background1"/>
              </w:rPr>
              <w:t>Key projects/activities</w:t>
            </w:r>
          </w:p>
        </w:tc>
        <w:tc>
          <w:tcPr>
            <w:tcW w:w="1413" w:type="dxa"/>
            <w:shd w:val="clear" w:color="auto" w:fill="E68C36"/>
          </w:tcPr>
          <w:p w14:paraId="79E3B704" w14:textId="77777777" w:rsidR="009C3901" w:rsidRPr="004909F0" w:rsidRDefault="009C3901" w:rsidP="004909F0">
            <w:pPr>
              <w:rPr>
                <w:rFonts w:ascii="Arial" w:hAnsi="Arial" w:cs="Arial"/>
                <w:b/>
                <w:color w:val="FFFFFF" w:themeColor="background1"/>
              </w:rPr>
            </w:pPr>
            <w:r w:rsidRPr="004909F0">
              <w:rPr>
                <w:rFonts w:ascii="Arial" w:hAnsi="Arial" w:cs="Arial"/>
                <w:b/>
                <w:color w:val="FFFFFF" w:themeColor="background1"/>
              </w:rPr>
              <w:t>Timescales</w:t>
            </w:r>
          </w:p>
        </w:tc>
        <w:tc>
          <w:tcPr>
            <w:tcW w:w="1525" w:type="dxa"/>
            <w:shd w:val="clear" w:color="auto" w:fill="E68C36"/>
          </w:tcPr>
          <w:p w14:paraId="2FF11F4C" w14:textId="77777777" w:rsidR="009C3901" w:rsidRPr="004909F0" w:rsidRDefault="009C3901" w:rsidP="004909F0">
            <w:pPr>
              <w:rPr>
                <w:rFonts w:ascii="Arial" w:hAnsi="Arial" w:cs="Arial"/>
                <w:b/>
                <w:color w:val="FFFFFF" w:themeColor="background1"/>
              </w:rPr>
            </w:pPr>
            <w:r w:rsidRPr="004909F0">
              <w:rPr>
                <w:rFonts w:ascii="Arial" w:hAnsi="Arial" w:cs="Arial"/>
                <w:b/>
                <w:color w:val="FFFFFF" w:themeColor="background1"/>
              </w:rPr>
              <w:t>Responsible Head of Service</w:t>
            </w:r>
          </w:p>
        </w:tc>
        <w:tc>
          <w:tcPr>
            <w:tcW w:w="864" w:type="dxa"/>
            <w:shd w:val="clear" w:color="auto" w:fill="E68C36"/>
          </w:tcPr>
          <w:p w14:paraId="1DE62753" w14:textId="6D3C2E03" w:rsidR="009C3901" w:rsidRDefault="009C3901" w:rsidP="009E3140">
            <w:pPr>
              <w:rPr>
                <w:rFonts w:ascii="Arial" w:hAnsi="Arial" w:cs="Arial"/>
                <w:b/>
                <w:color w:val="FFFFFF" w:themeColor="background1"/>
              </w:rPr>
            </w:pPr>
            <w:r>
              <w:rPr>
                <w:rFonts w:ascii="Arial" w:hAnsi="Arial" w:cs="Arial"/>
                <w:b/>
                <w:color w:val="FFFFFF" w:themeColor="background1"/>
              </w:rPr>
              <w:t>Q1 RAG status</w:t>
            </w:r>
          </w:p>
        </w:tc>
        <w:tc>
          <w:tcPr>
            <w:tcW w:w="864" w:type="dxa"/>
            <w:shd w:val="clear" w:color="auto" w:fill="E68C36"/>
          </w:tcPr>
          <w:p w14:paraId="79D9CE50" w14:textId="1D09D968" w:rsidR="009C3901" w:rsidRPr="004909F0" w:rsidRDefault="009C3901" w:rsidP="009E3140">
            <w:pPr>
              <w:rPr>
                <w:rFonts w:ascii="Arial" w:hAnsi="Arial" w:cs="Arial"/>
                <w:b/>
                <w:color w:val="FFFFFF" w:themeColor="background1"/>
              </w:rPr>
            </w:pPr>
            <w:r>
              <w:rPr>
                <w:rFonts w:ascii="Arial" w:hAnsi="Arial" w:cs="Arial"/>
                <w:b/>
                <w:color w:val="FFFFFF" w:themeColor="background1"/>
              </w:rPr>
              <w:t>Q2</w:t>
            </w:r>
            <w:r w:rsidRPr="004909F0">
              <w:rPr>
                <w:rFonts w:ascii="Arial" w:hAnsi="Arial" w:cs="Arial"/>
                <w:b/>
                <w:color w:val="FFFFFF" w:themeColor="background1"/>
              </w:rPr>
              <w:t xml:space="preserve"> RAG status</w:t>
            </w:r>
            <w:r w:rsidRPr="004909F0">
              <w:rPr>
                <w:rFonts w:ascii="Arial" w:hAnsi="Arial" w:cs="Arial"/>
                <w:b/>
                <w:color w:val="FFFFFF" w:themeColor="background1"/>
              </w:rPr>
              <w:tab/>
            </w:r>
          </w:p>
        </w:tc>
        <w:tc>
          <w:tcPr>
            <w:tcW w:w="6329" w:type="dxa"/>
            <w:shd w:val="clear" w:color="auto" w:fill="E68C36"/>
          </w:tcPr>
          <w:p w14:paraId="7484115B" w14:textId="68E3929B" w:rsidR="009C3901" w:rsidRPr="004909F0" w:rsidRDefault="009C3901" w:rsidP="004909F0">
            <w:pPr>
              <w:rPr>
                <w:rFonts w:ascii="Arial" w:hAnsi="Arial" w:cs="Arial"/>
                <w:b/>
                <w:color w:val="FFFFFF" w:themeColor="background1"/>
              </w:rPr>
            </w:pPr>
            <w:r>
              <w:rPr>
                <w:rFonts w:ascii="Arial" w:hAnsi="Arial" w:cs="Arial"/>
                <w:b/>
                <w:color w:val="FFFFFF" w:themeColor="background1"/>
              </w:rPr>
              <w:t>Q2</w:t>
            </w:r>
            <w:r w:rsidRPr="004909F0">
              <w:rPr>
                <w:rFonts w:ascii="Arial" w:hAnsi="Arial" w:cs="Arial"/>
                <w:b/>
                <w:color w:val="FFFFFF" w:themeColor="background1"/>
              </w:rPr>
              <w:t xml:space="preserve"> commentary (and management action where red/amber)</w:t>
            </w:r>
          </w:p>
        </w:tc>
      </w:tr>
      <w:tr w:rsidR="006C55CC" w14:paraId="2C41689F" w14:textId="099ACAB8" w:rsidTr="006C55CC">
        <w:trPr>
          <w:trHeight w:val="1213"/>
        </w:trPr>
        <w:tc>
          <w:tcPr>
            <w:tcW w:w="4309" w:type="dxa"/>
            <w:shd w:val="clear" w:color="auto" w:fill="auto"/>
            <w:vAlign w:val="center"/>
          </w:tcPr>
          <w:p w14:paraId="52C76920" w14:textId="77777777" w:rsidR="006C55CC" w:rsidRPr="004909F0" w:rsidRDefault="006C55CC" w:rsidP="006C55CC">
            <w:pPr>
              <w:rPr>
                <w:rFonts w:ascii="Arial" w:eastAsia="Times New Roman" w:hAnsi="Arial" w:cs="Arial"/>
                <w:color w:val="000000"/>
                <w:lang w:eastAsia="en-GB"/>
              </w:rPr>
            </w:pPr>
            <w:r w:rsidRPr="004909F0">
              <w:rPr>
                <w:rFonts w:ascii="Arial" w:eastAsia="Times New Roman" w:hAnsi="Arial" w:cs="Arial"/>
                <w:b/>
                <w:color w:val="000000"/>
                <w:lang w:eastAsia="en-GB"/>
              </w:rPr>
              <w:t>Analyse actual and projected financial impacts of Covid-19 crisis and recovery phase</w:t>
            </w:r>
            <w:r w:rsidRPr="004909F0">
              <w:rPr>
                <w:rFonts w:ascii="Arial" w:eastAsia="Times New Roman" w:hAnsi="Arial" w:cs="Arial"/>
                <w:color w:val="000000"/>
                <w:lang w:eastAsia="en-GB"/>
              </w:rPr>
              <w:t xml:space="preserve"> and build into revised budget decisions for 2020/21 and medium term financial plan</w:t>
            </w:r>
          </w:p>
        </w:tc>
        <w:tc>
          <w:tcPr>
            <w:tcW w:w="1413" w:type="dxa"/>
            <w:shd w:val="clear" w:color="auto" w:fill="auto"/>
            <w:vAlign w:val="center"/>
          </w:tcPr>
          <w:p w14:paraId="4718C991" w14:textId="1DE684EF" w:rsidR="006C55CC" w:rsidRPr="004909F0" w:rsidRDefault="006C55CC" w:rsidP="006C55CC">
            <w:pPr>
              <w:rPr>
                <w:rFonts w:ascii="Arial" w:hAnsi="Arial" w:cs="Arial"/>
              </w:rPr>
            </w:pPr>
            <w:r w:rsidRPr="004909F0">
              <w:rPr>
                <w:rFonts w:ascii="Arial" w:hAnsi="Arial" w:cs="Arial"/>
              </w:rPr>
              <w:t>by Mar</w:t>
            </w:r>
            <w:r>
              <w:rPr>
                <w:rFonts w:ascii="Arial" w:hAnsi="Arial" w:cs="Arial"/>
              </w:rPr>
              <w:t>ch</w:t>
            </w:r>
            <w:r w:rsidRPr="004909F0">
              <w:rPr>
                <w:rFonts w:ascii="Arial" w:hAnsi="Arial" w:cs="Arial"/>
              </w:rPr>
              <w:t xml:space="preserve"> 2021</w:t>
            </w:r>
          </w:p>
        </w:tc>
        <w:tc>
          <w:tcPr>
            <w:tcW w:w="1525" w:type="dxa"/>
            <w:vAlign w:val="center"/>
          </w:tcPr>
          <w:p w14:paraId="1CF98A75" w14:textId="77777777" w:rsidR="006C55CC" w:rsidRPr="004909F0" w:rsidRDefault="006C55CC" w:rsidP="006C55CC">
            <w:pPr>
              <w:rPr>
                <w:rFonts w:ascii="Arial" w:hAnsi="Arial" w:cs="Arial"/>
              </w:rPr>
            </w:pPr>
            <w:r w:rsidRPr="004909F0">
              <w:rPr>
                <w:rFonts w:ascii="Arial" w:hAnsi="Arial" w:cs="Arial"/>
              </w:rPr>
              <w:t>Finance and Property</w:t>
            </w:r>
          </w:p>
        </w:tc>
        <w:tc>
          <w:tcPr>
            <w:tcW w:w="864" w:type="dxa"/>
            <w:shd w:val="clear" w:color="000000" w:fill="92D050"/>
            <w:vAlign w:val="center"/>
          </w:tcPr>
          <w:p w14:paraId="5AA55C3A" w14:textId="4A6C3BD9" w:rsidR="006C55CC" w:rsidRDefault="006C55CC" w:rsidP="006C55CC">
            <w:pPr>
              <w:jc w:val="center"/>
              <w:rPr>
                <w:rFonts w:ascii="Arial" w:hAnsi="Arial" w:cs="Arial"/>
              </w:rPr>
            </w:pPr>
            <w:r>
              <w:rPr>
                <w:rFonts w:ascii="Arial" w:hAnsi="Arial" w:cs="Arial"/>
              </w:rPr>
              <w:t>G</w:t>
            </w:r>
          </w:p>
        </w:tc>
        <w:tc>
          <w:tcPr>
            <w:tcW w:w="864" w:type="dxa"/>
            <w:tcBorders>
              <w:top w:val="single" w:sz="4" w:space="0" w:color="auto"/>
              <w:left w:val="single" w:sz="4" w:space="0" w:color="auto"/>
              <w:bottom w:val="single" w:sz="4" w:space="0" w:color="auto"/>
              <w:right w:val="single" w:sz="4" w:space="0" w:color="auto"/>
            </w:tcBorders>
            <w:shd w:val="clear" w:color="000000" w:fill="92D050"/>
            <w:vAlign w:val="center"/>
          </w:tcPr>
          <w:p w14:paraId="516A8520" w14:textId="0BF43B53" w:rsidR="006C55CC" w:rsidRPr="004909F0" w:rsidRDefault="006C55CC" w:rsidP="006C55CC">
            <w:pPr>
              <w:jc w:val="center"/>
              <w:rPr>
                <w:rFonts w:ascii="Arial" w:hAnsi="Arial" w:cs="Arial"/>
              </w:rPr>
            </w:pPr>
            <w:r>
              <w:rPr>
                <w:rFonts w:ascii="Arial" w:hAnsi="Arial" w:cs="Arial"/>
              </w:rPr>
              <w:t>G</w:t>
            </w:r>
          </w:p>
        </w:tc>
        <w:tc>
          <w:tcPr>
            <w:tcW w:w="6329" w:type="dxa"/>
            <w:tcBorders>
              <w:top w:val="single" w:sz="4" w:space="0" w:color="auto"/>
              <w:left w:val="nil"/>
              <w:bottom w:val="single" w:sz="4" w:space="0" w:color="auto"/>
              <w:right w:val="single" w:sz="4" w:space="0" w:color="auto"/>
            </w:tcBorders>
            <w:shd w:val="clear" w:color="auto" w:fill="auto"/>
            <w:vAlign w:val="center"/>
          </w:tcPr>
          <w:p w14:paraId="125FB5A9" w14:textId="33948A3D" w:rsidR="006C55CC" w:rsidRPr="004909F0" w:rsidRDefault="006C55CC" w:rsidP="006C55CC">
            <w:pPr>
              <w:rPr>
                <w:rFonts w:ascii="Arial" w:hAnsi="Arial" w:cs="Arial"/>
              </w:rPr>
            </w:pPr>
            <w:r>
              <w:rPr>
                <w:rFonts w:ascii="Arial" w:hAnsi="Arial" w:cs="Arial"/>
                <w:color w:val="000000"/>
              </w:rPr>
              <w:t xml:space="preserve">The financial position continues to be monitored monthly and Executive have been presented with the finance report for April to July.  Monthly returns have been submitted to MHCLG to set out the actual and forecast impacts.  </w:t>
            </w:r>
          </w:p>
        </w:tc>
      </w:tr>
      <w:tr w:rsidR="006C55CC" w14:paraId="00997C04" w14:textId="7CC8CC70" w:rsidTr="006C55CC">
        <w:trPr>
          <w:trHeight w:val="1680"/>
        </w:trPr>
        <w:tc>
          <w:tcPr>
            <w:tcW w:w="4309" w:type="dxa"/>
            <w:vAlign w:val="center"/>
          </w:tcPr>
          <w:p w14:paraId="6457657D" w14:textId="77777777" w:rsidR="006C55CC" w:rsidRPr="004909F0" w:rsidRDefault="006C55CC" w:rsidP="006C55CC">
            <w:pPr>
              <w:rPr>
                <w:rFonts w:ascii="Arial" w:eastAsia="Times New Roman" w:hAnsi="Arial" w:cs="Arial"/>
                <w:color w:val="000000"/>
                <w:highlight w:val="lightGray"/>
                <w:lang w:eastAsia="en-GB"/>
              </w:rPr>
            </w:pPr>
            <w:r w:rsidRPr="004909F0">
              <w:rPr>
                <w:rFonts w:ascii="Arial" w:eastAsia="Times New Roman" w:hAnsi="Arial" w:cs="Arial"/>
                <w:b/>
                <w:color w:val="000000"/>
                <w:lang w:eastAsia="en-GB"/>
              </w:rPr>
              <w:t>Develop and deliver service specific recovery plans for our income generating services</w:t>
            </w:r>
            <w:r w:rsidRPr="004909F0">
              <w:rPr>
                <w:rFonts w:ascii="Arial" w:eastAsia="Times New Roman" w:hAnsi="Arial" w:cs="Arial"/>
                <w:color w:val="000000"/>
                <w:lang w:eastAsia="en-GB"/>
              </w:rPr>
              <w:t xml:space="preserve"> (in particular trade waste, estates, and car parking)</w:t>
            </w:r>
          </w:p>
        </w:tc>
        <w:tc>
          <w:tcPr>
            <w:tcW w:w="1413" w:type="dxa"/>
            <w:vAlign w:val="center"/>
          </w:tcPr>
          <w:p w14:paraId="07DD626D" w14:textId="77777777" w:rsidR="006C55CC" w:rsidRPr="004909F0" w:rsidRDefault="006C55CC" w:rsidP="006C55CC">
            <w:pPr>
              <w:rPr>
                <w:rFonts w:ascii="Arial" w:hAnsi="Arial" w:cs="Arial"/>
              </w:rPr>
            </w:pPr>
            <w:r w:rsidRPr="004909F0">
              <w:rPr>
                <w:rFonts w:ascii="Arial" w:hAnsi="Arial" w:cs="Arial"/>
              </w:rPr>
              <w:t>from May 2020</w:t>
            </w:r>
          </w:p>
        </w:tc>
        <w:tc>
          <w:tcPr>
            <w:tcW w:w="1525" w:type="dxa"/>
            <w:vAlign w:val="center"/>
          </w:tcPr>
          <w:p w14:paraId="5315A64B" w14:textId="77777777" w:rsidR="006C55CC" w:rsidRPr="004909F0" w:rsidRDefault="006C55CC" w:rsidP="006C55CC">
            <w:pPr>
              <w:rPr>
                <w:rFonts w:ascii="Arial" w:hAnsi="Arial" w:cs="Arial"/>
              </w:rPr>
            </w:pPr>
            <w:r w:rsidRPr="004909F0">
              <w:rPr>
                <w:rFonts w:ascii="Arial" w:hAnsi="Arial" w:cs="Arial"/>
              </w:rPr>
              <w:t>Finance and Property</w:t>
            </w:r>
          </w:p>
        </w:tc>
        <w:tc>
          <w:tcPr>
            <w:tcW w:w="864" w:type="dxa"/>
            <w:shd w:val="clear" w:color="000000" w:fill="92D050"/>
            <w:vAlign w:val="center"/>
          </w:tcPr>
          <w:p w14:paraId="6C261978" w14:textId="520843E0" w:rsidR="006C55CC" w:rsidRDefault="006C55CC" w:rsidP="006C55CC">
            <w:pPr>
              <w:jc w:val="center"/>
              <w:rPr>
                <w:rFonts w:ascii="Arial" w:hAnsi="Arial" w:cs="Arial"/>
              </w:rPr>
            </w:pPr>
            <w:r>
              <w:rPr>
                <w:rFonts w:ascii="Arial" w:hAnsi="Arial" w:cs="Arial"/>
              </w:rPr>
              <w:t>G</w:t>
            </w:r>
          </w:p>
        </w:tc>
        <w:tc>
          <w:tcPr>
            <w:tcW w:w="864" w:type="dxa"/>
            <w:tcBorders>
              <w:top w:val="single" w:sz="4" w:space="0" w:color="auto"/>
              <w:left w:val="single" w:sz="4" w:space="0" w:color="auto"/>
              <w:bottom w:val="single" w:sz="4" w:space="0" w:color="auto"/>
              <w:right w:val="single" w:sz="4" w:space="0" w:color="auto"/>
            </w:tcBorders>
            <w:shd w:val="clear" w:color="000000" w:fill="92D050"/>
            <w:vAlign w:val="center"/>
          </w:tcPr>
          <w:p w14:paraId="5BC1DA6D" w14:textId="64880AA5" w:rsidR="006C55CC" w:rsidRPr="004909F0" w:rsidRDefault="006C55CC" w:rsidP="006C55CC">
            <w:pPr>
              <w:jc w:val="center"/>
              <w:rPr>
                <w:rFonts w:ascii="Arial" w:hAnsi="Arial" w:cs="Arial"/>
              </w:rPr>
            </w:pPr>
            <w:r>
              <w:rPr>
                <w:rFonts w:ascii="Arial" w:hAnsi="Arial" w:cs="Arial"/>
              </w:rPr>
              <w:t>G</w:t>
            </w:r>
          </w:p>
        </w:tc>
        <w:tc>
          <w:tcPr>
            <w:tcW w:w="6329" w:type="dxa"/>
            <w:tcBorders>
              <w:top w:val="nil"/>
              <w:left w:val="nil"/>
              <w:bottom w:val="single" w:sz="4" w:space="0" w:color="auto"/>
              <w:right w:val="single" w:sz="4" w:space="0" w:color="auto"/>
            </w:tcBorders>
            <w:shd w:val="clear" w:color="auto" w:fill="auto"/>
            <w:vAlign w:val="center"/>
          </w:tcPr>
          <w:p w14:paraId="3E57DFCC" w14:textId="3712927D" w:rsidR="006C55CC" w:rsidRPr="004909F0" w:rsidRDefault="006C55CC" w:rsidP="006C55CC">
            <w:pPr>
              <w:rPr>
                <w:rFonts w:ascii="Arial" w:hAnsi="Arial" w:cs="Arial"/>
              </w:rPr>
            </w:pPr>
            <w:r>
              <w:rPr>
                <w:rFonts w:ascii="Arial" w:hAnsi="Arial" w:cs="Arial"/>
                <w:color w:val="000000"/>
              </w:rPr>
              <w:t>In July the government announced an income guarantee scheme, under which authorities will be compensated for 75% of losses of income from sales, fees and charges (for example car parking charges) - arising as a result of Covid-19 and the consequent reductions in economic activity. The first return has been submitted for this compensation.  Commercial revenues (</w:t>
            </w:r>
            <w:r w:rsidR="004E2B74">
              <w:rPr>
                <w:rFonts w:ascii="Arial" w:hAnsi="Arial" w:cs="Arial"/>
                <w:color w:val="000000"/>
              </w:rPr>
              <w:t>e.g.</w:t>
            </w:r>
            <w:r>
              <w:rPr>
                <w:rFonts w:ascii="Arial" w:hAnsi="Arial" w:cs="Arial"/>
                <w:color w:val="000000"/>
              </w:rPr>
              <w:t xml:space="preserve"> rental incomes) are not considered relevant losses and will not be compensated for under this scheme.</w:t>
            </w:r>
          </w:p>
        </w:tc>
      </w:tr>
      <w:tr w:rsidR="006C55CC" w14:paraId="00F65AB0" w14:textId="4C31595E" w:rsidTr="006C55CC">
        <w:trPr>
          <w:trHeight w:val="951"/>
        </w:trPr>
        <w:tc>
          <w:tcPr>
            <w:tcW w:w="4309" w:type="dxa"/>
            <w:vAlign w:val="center"/>
          </w:tcPr>
          <w:p w14:paraId="1B376718" w14:textId="77777777" w:rsidR="006C55CC" w:rsidRPr="004909F0" w:rsidRDefault="006C55CC" w:rsidP="006C55CC">
            <w:pPr>
              <w:rPr>
                <w:rFonts w:ascii="Arial" w:eastAsia="Times New Roman" w:hAnsi="Arial" w:cs="Arial"/>
                <w:color w:val="000000"/>
                <w:lang w:eastAsia="en-GB"/>
              </w:rPr>
            </w:pPr>
            <w:r w:rsidRPr="004909F0">
              <w:rPr>
                <w:rFonts w:ascii="Arial" w:eastAsia="Times New Roman" w:hAnsi="Arial" w:cs="Arial"/>
                <w:b/>
                <w:color w:val="000000"/>
                <w:lang w:eastAsia="en-GB"/>
              </w:rPr>
              <w:t>Review the Council’s Target Operating Model and working practices</w:t>
            </w:r>
            <w:r w:rsidRPr="004909F0">
              <w:rPr>
                <w:rFonts w:ascii="Arial" w:eastAsia="Times New Roman" w:hAnsi="Arial" w:cs="Arial"/>
                <w:color w:val="000000"/>
                <w:lang w:eastAsia="en-GB"/>
              </w:rPr>
              <w:t xml:space="preserve"> as part of our Recovery Strategy </w:t>
            </w:r>
          </w:p>
        </w:tc>
        <w:tc>
          <w:tcPr>
            <w:tcW w:w="1413" w:type="dxa"/>
            <w:vAlign w:val="center"/>
          </w:tcPr>
          <w:p w14:paraId="377ABBB1" w14:textId="77777777" w:rsidR="006C55CC" w:rsidRPr="004909F0" w:rsidRDefault="006C55CC" w:rsidP="006C55CC">
            <w:pPr>
              <w:rPr>
                <w:rFonts w:ascii="Arial" w:hAnsi="Arial" w:cs="Arial"/>
              </w:rPr>
            </w:pPr>
            <w:r w:rsidRPr="004909F0">
              <w:rPr>
                <w:rFonts w:ascii="Arial" w:hAnsi="Arial" w:cs="Arial"/>
              </w:rPr>
              <w:t>from June 2020</w:t>
            </w:r>
          </w:p>
        </w:tc>
        <w:tc>
          <w:tcPr>
            <w:tcW w:w="1525" w:type="dxa"/>
            <w:vAlign w:val="center"/>
          </w:tcPr>
          <w:p w14:paraId="7A7F4E93" w14:textId="77777777" w:rsidR="006C55CC" w:rsidRPr="004909F0" w:rsidRDefault="006C55CC" w:rsidP="006C55CC">
            <w:pPr>
              <w:rPr>
                <w:rFonts w:ascii="Arial" w:hAnsi="Arial" w:cs="Arial"/>
              </w:rPr>
            </w:pPr>
            <w:r w:rsidRPr="004909F0">
              <w:rPr>
                <w:rFonts w:ascii="Arial" w:hAnsi="Arial" w:cs="Arial"/>
              </w:rPr>
              <w:t>Programmes and Projects</w:t>
            </w:r>
          </w:p>
        </w:tc>
        <w:tc>
          <w:tcPr>
            <w:tcW w:w="864" w:type="dxa"/>
            <w:shd w:val="clear" w:color="000000" w:fill="92D050"/>
            <w:vAlign w:val="center"/>
          </w:tcPr>
          <w:p w14:paraId="484C01E1" w14:textId="399307F8" w:rsidR="006C55CC" w:rsidRDefault="006C55CC" w:rsidP="006C55CC">
            <w:pPr>
              <w:jc w:val="center"/>
              <w:rPr>
                <w:rFonts w:ascii="Arial" w:hAnsi="Arial" w:cs="Arial"/>
              </w:rPr>
            </w:pPr>
            <w:r>
              <w:rPr>
                <w:rFonts w:ascii="Arial" w:hAnsi="Arial" w:cs="Arial"/>
              </w:rPr>
              <w:t>G</w:t>
            </w:r>
          </w:p>
        </w:tc>
        <w:tc>
          <w:tcPr>
            <w:tcW w:w="864" w:type="dxa"/>
            <w:tcBorders>
              <w:top w:val="single" w:sz="4" w:space="0" w:color="auto"/>
              <w:left w:val="single" w:sz="4" w:space="0" w:color="auto"/>
              <w:bottom w:val="single" w:sz="4" w:space="0" w:color="auto"/>
              <w:right w:val="single" w:sz="4" w:space="0" w:color="auto"/>
            </w:tcBorders>
            <w:shd w:val="clear" w:color="000000" w:fill="92D050"/>
            <w:vAlign w:val="center"/>
          </w:tcPr>
          <w:p w14:paraId="1A814439" w14:textId="5FF1CA09" w:rsidR="006C55CC" w:rsidRPr="004909F0" w:rsidRDefault="006C55CC" w:rsidP="006C55CC">
            <w:pPr>
              <w:jc w:val="center"/>
              <w:rPr>
                <w:rFonts w:ascii="Arial" w:hAnsi="Arial" w:cs="Arial"/>
              </w:rPr>
            </w:pPr>
            <w:r>
              <w:rPr>
                <w:rFonts w:ascii="Arial" w:hAnsi="Arial" w:cs="Arial"/>
              </w:rPr>
              <w:t>G</w:t>
            </w:r>
          </w:p>
        </w:tc>
        <w:tc>
          <w:tcPr>
            <w:tcW w:w="6329" w:type="dxa"/>
            <w:tcBorders>
              <w:top w:val="nil"/>
              <w:left w:val="nil"/>
              <w:bottom w:val="single" w:sz="4" w:space="0" w:color="auto"/>
              <w:right w:val="single" w:sz="4" w:space="0" w:color="auto"/>
            </w:tcBorders>
            <w:shd w:val="clear" w:color="auto" w:fill="auto"/>
            <w:vAlign w:val="center"/>
          </w:tcPr>
          <w:p w14:paraId="1C3E5733" w14:textId="59E091CF" w:rsidR="006C55CC" w:rsidRPr="004909F0" w:rsidRDefault="006C55CC" w:rsidP="006C55CC">
            <w:pPr>
              <w:spacing w:after="120"/>
              <w:rPr>
                <w:rFonts w:ascii="Arial" w:hAnsi="Arial" w:cs="Arial"/>
              </w:rPr>
            </w:pPr>
            <w:r>
              <w:rPr>
                <w:rFonts w:ascii="Arial" w:hAnsi="Arial" w:cs="Arial"/>
                <w:color w:val="000000"/>
              </w:rPr>
              <w:t>Continued support for remote working in almost all services including providing appropriate equipment, devices and increased use of cloud-based technology. The Programme Office has successfully attracted additional resources through internal secondments and recruitment of project managers to deliver a range of projects to modernise our approach to recruitment and development of staff, increase the flexibility of our workforce so that we can respond better to changing priorities and to develop a plan for our offices and other properties.</w:t>
            </w:r>
          </w:p>
        </w:tc>
      </w:tr>
      <w:tr w:rsidR="006C55CC" w14:paraId="11385604" w14:textId="1EA3F028" w:rsidTr="009A71BD">
        <w:trPr>
          <w:trHeight w:val="934"/>
        </w:trPr>
        <w:tc>
          <w:tcPr>
            <w:tcW w:w="4309" w:type="dxa"/>
            <w:vAlign w:val="center"/>
          </w:tcPr>
          <w:p w14:paraId="0601BA07" w14:textId="77777777" w:rsidR="006C55CC" w:rsidRPr="004909F0" w:rsidRDefault="006C55CC" w:rsidP="006C55CC">
            <w:pPr>
              <w:rPr>
                <w:rFonts w:ascii="Arial" w:eastAsia="Times New Roman" w:hAnsi="Arial" w:cs="Arial"/>
                <w:color w:val="000000"/>
                <w:lang w:eastAsia="en-GB"/>
              </w:rPr>
            </w:pPr>
            <w:r w:rsidRPr="004909F0">
              <w:rPr>
                <w:rFonts w:ascii="Arial" w:eastAsia="Times New Roman" w:hAnsi="Arial" w:cs="Arial"/>
                <w:b/>
                <w:color w:val="000000"/>
                <w:lang w:eastAsia="en-GB"/>
              </w:rPr>
              <w:t>Continue a programme of service reviews across the council</w:t>
            </w:r>
            <w:r w:rsidRPr="004909F0">
              <w:rPr>
                <w:rFonts w:ascii="Arial" w:eastAsia="Times New Roman" w:hAnsi="Arial" w:cs="Arial"/>
                <w:color w:val="000000"/>
                <w:lang w:eastAsia="en-GB"/>
              </w:rPr>
              <w:t xml:space="preserve"> looking at cost, quality and delivery mechanisms </w:t>
            </w:r>
            <w:r w:rsidRPr="004909F0">
              <w:rPr>
                <w:rFonts w:ascii="Arial" w:eastAsia="Times New Roman" w:hAnsi="Arial" w:cs="Arial"/>
                <w:color w:val="000000"/>
                <w:lang w:eastAsia="en-GB"/>
              </w:rPr>
              <w:lastRenderedPageBreak/>
              <w:t xml:space="preserve">(building in learning from operating during the pandemic) </w:t>
            </w:r>
          </w:p>
        </w:tc>
        <w:tc>
          <w:tcPr>
            <w:tcW w:w="1413" w:type="dxa"/>
            <w:vAlign w:val="center"/>
          </w:tcPr>
          <w:p w14:paraId="0B4A58D8" w14:textId="77777777" w:rsidR="006C55CC" w:rsidRPr="004909F0" w:rsidRDefault="006C55CC" w:rsidP="006C55CC">
            <w:pPr>
              <w:rPr>
                <w:rFonts w:ascii="Arial" w:hAnsi="Arial" w:cs="Arial"/>
                <w:highlight w:val="lightGray"/>
              </w:rPr>
            </w:pPr>
            <w:r w:rsidRPr="004909F0">
              <w:rPr>
                <w:rFonts w:ascii="Arial" w:hAnsi="Arial" w:cs="Arial"/>
              </w:rPr>
              <w:lastRenderedPageBreak/>
              <w:t>from June 2020</w:t>
            </w:r>
          </w:p>
        </w:tc>
        <w:tc>
          <w:tcPr>
            <w:tcW w:w="1525" w:type="dxa"/>
            <w:vAlign w:val="center"/>
          </w:tcPr>
          <w:p w14:paraId="3E3EFB38" w14:textId="77777777" w:rsidR="006C55CC" w:rsidRPr="004909F0" w:rsidRDefault="006C55CC" w:rsidP="006C55CC">
            <w:pPr>
              <w:rPr>
                <w:rFonts w:ascii="Arial" w:hAnsi="Arial" w:cs="Arial"/>
                <w:highlight w:val="lightGray"/>
              </w:rPr>
            </w:pPr>
            <w:r w:rsidRPr="004909F0">
              <w:rPr>
                <w:rFonts w:ascii="Arial" w:hAnsi="Arial" w:cs="Arial"/>
              </w:rPr>
              <w:t>Programmes and Projects</w:t>
            </w:r>
          </w:p>
        </w:tc>
        <w:tc>
          <w:tcPr>
            <w:tcW w:w="864" w:type="dxa"/>
            <w:shd w:val="clear" w:color="000000" w:fill="92D050"/>
            <w:vAlign w:val="center"/>
          </w:tcPr>
          <w:p w14:paraId="5FDD7383" w14:textId="00729BA8" w:rsidR="006C55CC" w:rsidRDefault="009A71BD" w:rsidP="009A71BD">
            <w:pPr>
              <w:jc w:val="center"/>
              <w:rPr>
                <w:rFonts w:ascii="Arial" w:hAnsi="Arial" w:cs="Arial"/>
              </w:rPr>
            </w:pPr>
            <w:r>
              <w:rPr>
                <w:rFonts w:ascii="Arial" w:hAnsi="Arial" w:cs="Arial"/>
              </w:rPr>
              <w:t>G</w:t>
            </w:r>
          </w:p>
        </w:tc>
        <w:tc>
          <w:tcPr>
            <w:tcW w:w="864" w:type="dxa"/>
            <w:tcBorders>
              <w:top w:val="single" w:sz="4" w:space="0" w:color="auto"/>
              <w:left w:val="single" w:sz="4" w:space="0" w:color="auto"/>
              <w:bottom w:val="single" w:sz="4" w:space="0" w:color="auto"/>
              <w:right w:val="single" w:sz="4" w:space="0" w:color="auto"/>
            </w:tcBorders>
            <w:shd w:val="clear" w:color="000000" w:fill="92D050"/>
            <w:vAlign w:val="center"/>
          </w:tcPr>
          <w:p w14:paraId="143600CD" w14:textId="1746AA89" w:rsidR="006C55CC" w:rsidRPr="004909F0" w:rsidRDefault="006C55CC" w:rsidP="006C55CC">
            <w:pPr>
              <w:jc w:val="center"/>
              <w:rPr>
                <w:rFonts w:ascii="Arial" w:hAnsi="Arial" w:cs="Arial"/>
              </w:rPr>
            </w:pPr>
            <w:r>
              <w:rPr>
                <w:rFonts w:ascii="Arial" w:hAnsi="Arial" w:cs="Arial"/>
              </w:rPr>
              <w:t>G</w:t>
            </w:r>
          </w:p>
        </w:tc>
        <w:tc>
          <w:tcPr>
            <w:tcW w:w="6329" w:type="dxa"/>
            <w:tcBorders>
              <w:top w:val="nil"/>
              <w:left w:val="nil"/>
              <w:bottom w:val="single" w:sz="4" w:space="0" w:color="auto"/>
              <w:right w:val="single" w:sz="4" w:space="0" w:color="auto"/>
            </w:tcBorders>
            <w:shd w:val="clear" w:color="auto" w:fill="auto"/>
            <w:vAlign w:val="center"/>
          </w:tcPr>
          <w:p w14:paraId="124103F4" w14:textId="0D0918AC" w:rsidR="006C55CC" w:rsidRPr="004909F0" w:rsidRDefault="006C55CC" w:rsidP="006C55CC">
            <w:pPr>
              <w:rPr>
                <w:rFonts w:ascii="Arial" w:hAnsi="Arial" w:cs="Arial"/>
              </w:rPr>
            </w:pPr>
            <w:r>
              <w:rPr>
                <w:rFonts w:ascii="Arial" w:hAnsi="Arial" w:cs="Arial"/>
                <w:color w:val="000000"/>
              </w:rPr>
              <w:t xml:space="preserve">Building on work already completed, we have recruited a Performance and Insight Project Manager to conduct detailed reviews of services and then use that data and evidence to help improve work processes and develop a meaningful </w:t>
            </w:r>
            <w:r>
              <w:rPr>
                <w:rFonts w:ascii="Arial" w:hAnsi="Arial" w:cs="Arial"/>
                <w:color w:val="000000"/>
              </w:rPr>
              <w:lastRenderedPageBreak/>
              <w:t>performance management framework to measure our effectiveness. Initial work will focus on waste services, parking and community services.</w:t>
            </w:r>
          </w:p>
        </w:tc>
      </w:tr>
    </w:tbl>
    <w:p w14:paraId="32EAB0E2" w14:textId="529D2BEC" w:rsidR="009E3140" w:rsidRDefault="009E3140" w:rsidP="00E0799C">
      <w:pPr>
        <w:tabs>
          <w:tab w:val="left" w:pos="1134"/>
        </w:tabs>
        <w:rPr>
          <w:rFonts w:ascii="Arial" w:hAnsi="Arial" w:cs="Arial"/>
          <w:b/>
          <w:sz w:val="26"/>
          <w:szCs w:val="26"/>
        </w:rPr>
      </w:pPr>
      <w:r>
        <w:lastRenderedPageBreak/>
        <w:t xml:space="preserve"> </w:t>
      </w:r>
    </w:p>
    <w:tbl>
      <w:tblPr>
        <w:tblStyle w:val="TableGrid"/>
        <w:tblW w:w="15304" w:type="dxa"/>
        <w:tblLayout w:type="fixed"/>
        <w:tblLook w:val="04A0" w:firstRow="1" w:lastRow="0" w:firstColumn="1" w:lastColumn="0" w:noHBand="0" w:noVBand="1"/>
      </w:tblPr>
      <w:tblGrid>
        <w:gridCol w:w="4106"/>
        <w:gridCol w:w="1559"/>
        <w:gridCol w:w="992"/>
        <w:gridCol w:w="992"/>
        <w:gridCol w:w="851"/>
        <w:gridCol w:w="1275"/>
        <w:gridCol w:w="5529"/>
      </w:tblGrid>
      <w:tr w:rsidR="00AF6BAA" w:rsidRPr="002E7893" w14:paraId="64376BD5" w14:textId="0E385FEE" w:rsidTr="006B7077">
        <w:trPr>
          <w:trHeight w:val="521"/>
        </w:trPr>
        <w:tc>
          <w:tcPr>
            <w:tcW w:w="4106" w:type="dxa"/>
            <w:shd w:val="clear" w:color="auto" w:fill="E68C36"/>
            <w:vAlign w:val="center"/>
          </w:tcPr>
          <w:p w14:paraId="2A0F720D" w14:textId="77777777" w:rsidR="00AF6BAA" w:rsidRPr="007A3098" w:rsidRDefault="00AF6BAA" w:rsidP="003410EB">
            <w:pPr>
              <w:tabs>
                <w:tab w:val="left" w:pos="1134"/>
              </w:tabs>
              <w:rPr>
                <w:rFonts w:ascii="Arial" w:hAnsi="Arial" w:cs="Arial"/>
                <w:b/>
                <w:bCs/>
              </w:rPr>
            </w:pPr>
            <w:r w:rsidRPr="007A3098">
              <w:rPr>
                <w:rFonts w:ascii="Arial" w:hAnsi="Arial" w:cs="Arial"/>
                <w:b/>
                <w:bCs/>
                <w:color w:val="FFFFFF" w:themeColor="background1"/>
              </w:rPr>
              <w:t>Key performance indicators</w:t>
            </w:r>
          </w:p>
        </w:tc>
        <w:tc>
          <w:tcPr>
            <w:tcW w:w="1559" w:type="dxa"/>
            <w:shd w:val="clear" w:color="auto" w:fill="E68C36"/>
          </w:tcPr>
          <w:p w14:paraId="664688B7" w14:textId="7A6F321D" w:rsidR="00AF6BAA" w:rsidRPr="007A3098" w:rsidRDefault="00AF6BAA" w:rsidP="004B3024">
            <w:pPr>
              <w:tabs>
                <w:tab w:val="left" w:pos="1134"/>
              </w:tabs>
              <w:jc w:val="center"/>
              <w:rPr>
                <w:rFonts w:ascii="Arial" w:hAnsi="Arial" w:cs="Arial"/>
                <w:b/>
                <w:bCs/>
                <w:color w:val="FFFFFF" w:themeColor="background1"/>
              </w:rPr>
            </w:pPr>
            <w:r w:rsidRPr="007A3098">
              <w:rPr>
                <w:rFonts w:ascii="Arial" w:hAnsi="Arial" w:cs="Arial"/>
                <w:b/>
                <w:bCs/>
                <w:color w:val="FFFFFF" w:themeColor="background1"/>
              </w:rPr>
              <w:t>2019/20 actual</w:t>
            </w:r>
          </w:p>
        </w:tc>
        <w:tc>
          <w:tcPr>
            <w:tcW w:w="992" w:type="dxa"/>
            <w:shd w:val="clear" w:color="auto" w:fill="E68C36"/>
          </w:tcPr>
          <w:p w14:paraId="2A6CBC15" w14:textId="271131B9" w:rsidR="00AF6BAA" w:rsidRPr="007A3098" w:rsidRDefault="00AF6BAA" w:rsidP="004B3024">
            <w:pPr>
              <w:tabs>
                <w:tab w:val="left" w:pos="1134"/>
              </w:tabs>
              <w:jc w:val="center"/>
              <w:rPr>
                <w:rFonts w:ascii="Arial" w:hAnsi="Arial" w:cs="Arial"/>
                <w:b/>
                <w:bCs/>
                <w:color w:val="FFFFFF" w:themeColor="background1"/>
              </w:rPr>
            </w:pPr>
            <w:r>
              <w:rPr>
                <w:rFonts w:ascii="Arial" w:hAnsi="Arial" w:cs="Arial"/>
                <w:b/>
                <w:bCs/>
                <w:color w:val="FFFFFF" w:themeColor="background1"/>
              </w:rPr>
              <w:t>Q1 actual</w:t>
            </w:r>
          </w:p>
        </w:tc>
        <w:tc>
          <w:tcPr>
            <w:tcW w:w="992" w:type="dxa"/>
            <w:shd w:val="clear" w:color="auto" w:fill="E68C36"/>
          </w:tcPr>
          <w:p w14:paraId="35AC1AEC" w14:textId="6DF56E67" w:rsidR="00AF6BAA" w:rsidRPr="007A3098" w:rsidRDefault="00AF6BAA" w:rsidP="004B3024">
            <w:pPr>
              <w:tabs>
                <w:tab w:val="left" w:pos="1134"/>
              </w:tabs>
              <w:jc w:val="center"/>
              <w:rPr>
                <w:rFonts w:ascii="Arial" w:hAnsi="Arial" w:cs="Arial"/>
                <w:b/>
                <w:bCs/>
                <w:color w:val="FFFFFF" w:themeColor="background1"/>
              </w:rPr>
            </w:pPr>
            <w:r>
              <w:rPr>
                <w:rFonts w:ascii="Arial" w:hAnsi="Arial" w:cs="Arial"/>
                <w:b/>
                <w:bCs/>
                <w:color w:val="FFFFFF" w:themeColor="background1"/>
              </w:rPr>
              <w:t>Q2</w:t>
            </w:r>
            <w:r w:rsidRPr="007A3098">
              <w:rPr>
                <w:rFonts w:ascii="Arial" w:hAnsi="Arial" w:cs="Arial"/>
                <w:b/>
                <w:bCs/>
                <w:color w:val="FFFFFF" w:themeColor="background1"/>
              </w:rPr>
              <w:t xml:space="preserve"> actual</w:t>
            </w:r>
          </w:p>
        </w:tc>
        <w:tc>
          <w:tcPr>
            <w:tcW w:w="851" w:type="dxa"/>
            <w:shd w:val="clear" w:color="auto" w:fill="E68C36"/>
          </w:tcPr>
          <w:p w14:paraId="26C6B0AC" w14:textId="532F0E9A" w:rsidR="00AF6BAA" w:rsidRPr="007A3098" w:rsidRDefault="00AF6BAA" w:rsidP="004B3024">
            <w:pPr>
              <w:tabs>
                <w:tab w:val="left" w:pos="1134"/>
              </w:tabs>
              <w:jc w:val="center"/>
              <w:rPr>
                <w:rFonts w:ascii="Arial" w:hAnsi="Arial" w:cs="Arial"/>
                <w:b/>
                <w:bCs/>
                <w:color w:val="FFFFFF" w:themeColor="background1"/>
              </w:rPr>
            </w:pPr>
            <w:r w:rsidRPr="007A3098">
              <w:rPr>
                <w:rFonts w:ascii="Arial" w:hAnsi="Arial" w:cs="Arial"/>
                <w:b/>
                <w:bCs/>
                <w:color w:val="FFFFFF" w:themeColor="background1"/>
              </w:rPr>
              <w:t>Trend</w:t>
            </w:r>
          </w:p>
        </w:tc>
        <w:tc>
          <w:tcPr>
            <w:tcW w:w="1275" w:type="dxa"/>
            <w:shd w:val="clear" w:color="auto" w:fill="E68C36"/>
          </w:tcPr>
          <w:p w14:paraId="4EC39E15" w14:textId="6CBCD9DD" w:rsidR="00AF6BAA" w:rsidRPr="007A3098" w:rsidRDefault="00AF6BAA" w:rsidP="004B3024">
            <w:pPr>
              <w:tabs>
                <w:tab w:val="left" w:pos="1134"/>
              </w:tabs>
              <w:jc w:val="center"/>
              <w:rPr>
                <w:rFonts w:ascii="Arial" w:hAnsi="Arial" w:cs="Arial"/>
                <w:b/>
                <w:bCs/>
                <w:color w:val="FFFFFF" w:themeColor="background1"/>
              </w:rPr>
            </w:pPr>
            <w:r w:rsidRPr="007A3098">
              <w:rPr>
                <w:rFonts w:ascii="Arial" w:hAnsi="Arial" w:cs="Arial"/>
                <w:b/>
                <w:bCs/>
                <w:color w:val="FFFFFF" w:themeColor="background1"/>
              </w:rPr>
              <w:t>Target 2020/21</w:t>
            </w:r>
          </w:p>
        </w:tc>
        <w:tc>
          <w:tcPr>
            <w:tcW w:w="5529" w:type="dxa"/>
            <w:shd w:val="clear" w:color="auto" w:fill="E68C36"/>
          </w:tcPr>
          <w:p w14:paraId="23C4D673" w14:textId="43F1C6BA" w:rsidR="00AF6BAA" w:rsidRPr="007A3098" w:rsidRDefault="00AF6BAA" w:rsidP="004B3024">
            <w:pPr>
              <w:tabs>
                <w:tab w:val="left" w:pos="1134"/>
              </w:tabs>
              <w:rPr>
                <w:rFonts w:ascii="Arial" w:hAnsi="Arial" w:cs="Arial"/>
                <w:b/>
                <w:bCs/>
                <w:color w:val="FFFFFF" w:themeColor="background1"/>
              </w:rPr>
            </w:pPr>
            <w:r w:rsidRPr="007A3098">
              <w:rPr>
                <w:rFonts w:ascii="Arial" w:hAnsi="Arial" w:cs="Arial"/>
                <w:b/>
                <w:bCs/>
                <w:color w:val="FFFFFF" w:themeColor="background1"/>
              </w:rPr>
              <w:t>Progress and management action (where red/amber)</w:t>
            </w:r>
          </w:p>
        </w:tc>
      </w:tr>
      <w:tr w:rsidR="00F80F60" w:rsidRPr="002E7893" w14:paraId="13FBC033" w14:textId="5163BAF7" w:rsidTr="006B7077">
        <w:trPr>
          <w:trHeight w:val="1087"/>
        </w:trPr>
        <w:tc>
          <w:tcPr>
            <w:tcW w:w="4106" w:type="dxa"/>
            <w:tcBorders>
              <w:top w:val="single" w:sz="12" w:space="0" w:color="auto"/>
              <w:left w:val="single" w:sz="4" w:space="0" w:color="auto"/>
              <w:bottom w:val="single" w:sz="4" w:space="0" w:color="auto"/>
              <w:right w:val="single" w:sz="4" w:space="0" w:color="auto"/>
            </w:tcBorders>
            <w:shd w:val="clear" w:color="auto" w:fill="auto"/>
            <w:vAlign w:val="center"/>
          </w:tcPr>
          <w:p w14:paraId="3D30C782" w14:textId="77777777" w:rsidR="00F80F60" w:rsidRPr="007A3098" w:rsidRDefault="00F80F60" w:rsidP="003410EB">
            <w:pPr>
              <w:rPr>
                <w:rFonts w:ascii="Arial" w:eastAsia="Times New Roman" w:hAnsi="Arial" w:cs="Arial"/>
                <w:color w:val="000000"/>
                <w:sz w:val="21"/>
                <w:szCs w:val="21"/>
                <w:lang w:eastAsia="en-GB"/>
              </w:rPr>
            </w:pPr>
            <w:r w:rsidRPr="007A3098">
              <w:rPr>
                <w:rFonts w:ascii="Arial" w:eastAsia="Times New Roman" w:hAnsi="Arial" w:cs="Arial"/>
                <w:color w:val="000000"/>
                <w:sz w:val="21"/>
                <w:szCs w:val="21"/>
                <w:lang w:eastAsia="en-GB"/>
              </w:rPr>
              <w:t xml:space="preserve">% of council income that is from grants, CTax, NNDR, fees and charges (including commercial income streams) </w:t>
            </w:r>
          </w:p>
        </w:tc>
        <w:tc>
          <w:tcPr>
            <w:tcW w:w="1559" w:type="dxa"/>
            <w:vAlign w:val="center"/>
          </w:tcPr>
          <w:p w14:paraId="7644D0C9" w14:textId="4EEB383C" w:rsidR="00F80F60" w:rsidRPr="007F4334" w:rsidRDefault="00FA41CC" w:rsidP="00FA41CC">
            <w:pPr>
              <w:jc w:val="center"/>
              <w:rPr>
                <w:rFonts w:ascii="Arial" w:hAnsi="Arial" w:cs="Arial"/>
                <w:sz w:val="21"/>
                <w:szCs w:val="21"/>
                <w:highlight w:val="yellow"/>
              </w:rPr>
            </w:pPr>
            <w:r w:rsidRPr="00FA41CC">
              <w:rPr>
                <w:rFonts w:ascii="Arial" w:hAnsi="Arial" w:cs="Arial"/>
                <w:sz w:val="18"/>
                <w:szCs w:val="21"/>
              </w:rPr>
              <w:t>CTx,NNDR 49%; Fees, c</w:t>
            </w:r>
            <w:r>
              <w:rPr>
                <w:rFonts w:ascii="Arial" w:hAnsi="Arial" w:cs="Arial"/>
                <w:sz w:val="18"/>
                <w:szCs w:val="21"/>
              </w:rPr>
              <w:t>harges etc.</w:t>
            </w:r>
            <w:r w:rsidRPr="00FA41CC">
              <w:rPr>
                <w:rFonts w:ascii="Arial" w:hAnsi="Arial" w:cs="Arial"/>
                <w:sz w:val="18"/>
                <w:szCs w:val="21"/>
              </w:rPr>
              <w:t>4</w:t>
            </w:r>
            <w:r>
              <w:rPr>
                <w:rFonts w:ascii="Arial" w:hAnsi="Arial" w:cs="Arial"/>
                <w:sz w:val="18"/>
                <w:szCs w:val="21"/>
              </w:rPr>
              <w:t>0</w:t>
            </w:r>
            <w:r w:rsidRPr="00FA41CC">
              <w:rPr>
                <w:rFonts w:ascii="Arial" w:hAnsi="Arial" w:cs="Arial"/>
                <w:sz w:val="18"/>
                <w:szCs w:val="21"/>
              </w:rPr>
              <w:t xml:space="preserve">%; </w:t>
            </w:r>
            <w:r>
              <w:rPr>
                <w:rFonts w:ascii="Arial" w:hAnsi="Arial" w:cs="Arial"/>
                <w:sz w:val="18"/>
                <w:szCs w:val="21"/>
              </w:rPr>
              <w:t xml:space="preserve">Gov </w:t>
            </w:r>
            <w:r w:rsidRPr="00FA41CC">
              <w:rPr>
                <w:rFonts w:ascii="Arial" w:hAnsi="Arial" w:cs="Arial"/>
                <w:sz w:val="18"/>
                <w:szCs w:val="21"/>
              </w:rPr>
              <w:t>grants</w:t>
            </w:r>
            <w:r>
              <w:rPr>
                <w:rFonts w:ascii="Arial" w:hAnsi="Arial" w:cs="Arial"/>
                <w:sz w:val="18"/>
                <w:szCs w:val="21"/>
              </w:rPr>
              <w:t xml:space="preserve"> </w:t>
            </w:r>
            <w:r w:rsidRPr="00FA41CC">
              <w:rPr>
                <w:rFonts w:ascii="Arial" w:hAnsi="Arial" w:cs="Arial"/>
                <w:sz w:val="18"/>
                <w:szCs w:val="21"/>
              </w:rPr>
              <w:t>11%</w:t>
            </w:r>
          </w:p>
        </w:tc>
        <w:tc>
          <w:tcPr>
            <w:tcW w:w="2835" w:type="dxa"/>
            <w:gridSpan w:val="3"/>
          </w:tcPr>
          <w:p w14:paraId="161CB8A6" w14:textId="77777777" w:rsidR="00F80F60" w:rsidRPr="007A3098" w:rsidRDefault="00F80F60" w:rsidP="003410EB">
            <w:pPr>
              <w:jc w:val="center"/>
              <w:rPr>
                <w:rFonts w:ascii="Arial" w:hAnsi="Arial" w:cs="Arial"/>
                <w:sz w:val="21"/>
                <w:szCs w:val="21"/>
              </w:rPr>
            </w:pPr>
          </w:p>
          <w:p w14:paraId="236A6D81" w14:textId="2041C484" w:rsidR="00F80F60" w:rsidRPr="007A3098" w:rsidRDefault="00F80F60" w:rsidP="003410EB">
            <w:pPr>
              <w:jc w:val="center"/>
              <w:rPr>
                <w:rFonts w:ascii="Arial" w:hAnsi="Arial" w:cs="Arial"/>
                <w:sz w:val="21"/>
                <w:szCs w:val="21"/>
              </w:rPr>
            </w:pPr>
            <w:r w:rsidRPr="007A3098">
              <w:rPr>
                <w:rFonts w:ascii="Arial" w:hAnsi="Arial" w:cs="Arial"/>
                <w:sz w:val="21"/>
                <w:szCs w:val="21"/>
              </w:rPr>
              <w:t xml:space="preserve">Reported annually </w:t>
            </w:r>
          </w:p>
        </w:tc>
        <w:tc>
          <w:tcPr>
            <w:tcW w:w="1275" w:type="dxa"/>
            <w:vAlign w:val="center"/>
          </w:tcPr>
          <w:p w14:paraId="051B316B" w14:textId="65484A47" w:rsidR="00F80F60" w:rsidRPr="006B7077" w:rsidRDefault="00F80F60" w:rsidP="003410EB">
            <w:pPr>
              <w:jc w:val="center"/>
              <w:rPr>
                <w:rFonts w:ascii="Arial" w:hAnsi="Arial" w:cs="Arial"/>
                <w:sz w:val="19"/>
                <w:szCs w:val="19"/>
              </w:rPr>
            </w:pPr>
            <w:r w:rsidRPr="006B7077">
              <w:rPr>
                <w:rFonts w:ascii="Arial" w:hAnsi="Arial" w:cs="Arial"/>
                <w:sz w:val="19"/>
                <w:szCs w:val="19"/>
              </w:rPr>
              <w:t>Reduce reliance on grants over longer term</w:t>
            </w:r>
          </w:p>
        </w:tc>
        <w:tc>
          <w:tcPr>
            <w:tcW w:w="5529" w:type="dxa"/>
            <w:vAlign w:val="center"/>
          </w:tcPr>
          <w:p w14:paraId="7A08709E" w14:textId="0BE69FB1" w:rsidR="00F80F60" w:rsidRPr="00F80F60" w:rsidRDefault="00F80F60" w:rsidP="00E65D43">
            <w:pPr>
              <w:rPr>
                <w:rFonts w:ascii="Arial" w:hAnsi="Arial" w:cs="Arial"/>
                <w:sz w:val="21"/>
                <w:szCs w:val="21"/>
                <w:highlight w:val="yellow"/>
              </w:rPr>
            </w:pPr>
            <w:r w:rsidRPr="004B3024">
              <w:rPr>
                <w:rFonts w:ascii="Arial" w:hAnsi="Arial" w:cs="Arial"/>
                <w:sz w:val="21"/>
                <w:szCs w:val="21"/>
              </w:rPr>
              <w:t xml:space="preserve">We are likely to see the effect of the pandemic in these figures at the end of the year, as fees, charges and commercial income streams have all been hit hard by the pandemic. </w:t>
            </w:r>
          </w:p>
        </w:tc>
      </w:tr>
      <w:tr w:rsidR="00F80F60" w:rsidRPr="002E7893" w14:paraId="0F7214C9" w14:textId="30D543E7" w:rsidTr="006B7077">
        <w:trPr>
          <w:trHeight w:val="454"/>
        </w:trPr>
        <w:tc>
          <w:tcPr>
            <w:tcW w:w="4106" w:type="dxa"/>
            <w:tcBorders>
              <w:top w:val="nil"/>
              <w:left w:val="single" w:sz="4" w:space="0" w:color="auto"/>
              <w:bottom w:val="single" w:sz="4" w:space="0" w:color="auto"/>
              <w:right w:val="single" w:sz="4" w:space="0" w:color="auto"/>
            </w:tcBorders>
            <w:shd w:val="clear" w:color="auto" w:fill="auto"/>
            <w:vAlign w:val="center"/>
          </w:tcPr>
          <w:p w14:paraId="3C092737" w14:textId="77777777" w:rsidR="00F80F60" w:rsidRPr="007A3098" w:rsidRDefault="00F80F60" w:rsidP="003410EB">
            <w:pPr>
              <w:rPr>
                <w:rFonts w:ascii="Arial" w:eastAsia="Times New Roman" w:hAnsi="Arial" w:cs="Arial"/>
                <w:color w:val="000000"/>
                <w:sz w:val="21"/>
                <w:szCs w:val="21"/>
                <w:lang w:eastAsia="en-GB"/>
              </w:rPr>
            </w:pPr>
            <w:r w:rsidRPr="007A3098">
              <w:rPr>
                <w:rFonts w:ascii="Arial" w:eastAsia="Times New Roman" w:hAnsi="Arial" w:cs="Arial"/>
                <w:color w:val="000000"/>
                <w:sz w:val="21"/>
                <w:szCs w:val="21"/>
                <w:lang w:eastAsia="en-GB"/>
              </w:rPr>
              <w:t>Overall % of budget coming from balances</w:t>
            </w:r>
          </w:p>
        </w:tc>
        <w:tc>
          <w:tcPr>
            <w:tcW w:w="1559" w:type="dxa"/>
            <w:vAlign w:val="center"/>
          </w:tcPr>
          <w:p w14:paraId="6B718604" w14:textId="6971AC46" w:rsidR="00FA41CC" w:rsidRPr="00FA41CC" w:rsidRDefault="00FA41CC" w:rsidP="00FA41CC">
            <w:pPr>
              <w:ind w:left="-111"/>
              <w:jc w:val="center"/>
              <w:rPr>
                <w:rFonts w:ascii="Arial" w:hAnsi="Arial" w:cs="Arial"/>
                <w:sz w:val="18"/>
                <w:szCs w:val="21"/>
              </w:rPr>
            </w:pPr>
            <w:r w:rsidRPr="00FA41CC">
              <w:rPr>
                <w:rFonts w:ascii="Arial" w:hAnsi="Arial" w:cs="Arial"/>
                <w:sz w:val="18"/>
                <w:szCs w:val="21"/>
              </w:rPr>
              <w:t>Net charge to GF</w:t>
            </w:r>
          </w:p>
          <w:p w14:paraId="1B1FDE9D" w14:textId="712AEBE9" w:rsidR="00F80F60" w:rsidRPr="00FA41CC" w:rsidRDefault="00FA41CC" w:rsidP="00FA41CC">
            <w:pPr>
              <w:ind w:left="-111"/>
              <w:jc w:val="center"/>
              <w:rPr>
                <w:rFonts w:ascii="Arial" w:hAnsi="Arial" w:cs="Arial"/>
                <w:sz w:val="18"/>
                <w:szCs w:val="21"/>
                <w:highlight w:val="yellow"/>
              </w:rPr>
            </w:pPr>
            <w:r w:rsidRPr="00FA41CC">
              <w:rPr>
                <w:rFonts w:ascii="Arial" w:hAnsi="Arial" w:cs="Arial"/>
                <w:sz w:val="18"/>
                <w:szCs w:val="21"/>
              </w:rPr>
              <w:t>balances £966k</w:t>
            </w:r>
            <w:r>
              <w:rPr>
                <w:rFonts w:ascii="Arial" w:hAnsi="Arial" w:cs="Arial"/>
                <w:sz w:val="18"/>
                <w:szCs w:val="21"/>
              </w:rPr>
              <w:t xml:space="preserve"> against revenue expenditure </w:t>
            </w:r>
            <w:r w:rsidRPr="00FA41CC">
              <w:rPr>
                <w:rFonts w:ascii="Arial" w:hAnsi="Arial" w:cs="Arial"/>
                <w:sz w:val="18"/>
                <w:szCs w:val="21"/>
              </w:rPr>
              <w:t>£15,654k</w:t>
            </w:r>
          </w:p>
        </w:tc>
        <w:tc>
          <w:tcPr>
            <w:tcW w:w="2835" w:type="dxa"/>
            <w:gridSpan w:val="3"/>
          </w:tcPr>
          <w:p w14:paraId="2241B4A1" w14:textId="77777777" w:rsidR="00F80F60" w:rsidRPr="007A3098" w:rsidRDefault="00F80F60" w:rsidP="003410EB">
            <w:pPr>
              <w:jc w:val="center"/>
              <w:rPr>
                <w:rFonts w:ascii="Arial" w:hAnsi="Arial" w:cs="Arial"/>
                <w:sz w:val="21"/>
                <w:szCs w:val="21"/>
              </w:rPr>
            </w:pPr>
          </w:p>
          <w:p w14:paraId="6AD2D9D4" w14:textId="505D3186" w:rsidR="00F80F60" w:rsidRPr="007A3098" w:rsidRDefault="00F80F60" w:rsidP="003410EB">
            <w:pPr>
              <w:jc w:val="center"/>
              <w:rPr>
                <w:rFonts w:ascii="Arial" w:hAnsi="Arial" w:cs="Arial"/>
                <w:sz w:val="21"/>
                <w:szCs w:val="21"/>
              </w:rPr>
            </w:pPr>
            <w:r w:rsidRPr="007A3098">
              <w:rPr>
                <w:rFonts w:ascii="Arial" w:hAnsi="Arial" w:cs="Arial"/>
                <w:sz w:val="21"/>
                <w:szCs w:val="21"/>
              </w:rPr>
              <w:t>Reported annually</w:t>
            </w:r>
          </w:p>
        </w:tc>
        <w:tc>
          <w:tcPr>
            <w:tcW w:w="1275" w:type="dxa"/>
            <w:vAlign w:val="center"/>
          </w:tcPr>
          <w:p w14:paraId="75FC39AC" w14:textId="2845D9CA" w:rsidR="00F80F60" w:rsidRPr="007A3098" w:rsidRDefault="00F80F60" w:rsidP="003410EB">
            <w:pPr>
              <w:jc w:val="center"/>
              <w:rPr>
                <w:rFonts w:ascii="Arial" w:hAnsi="Arial" w:cs="Arial"/>
                <w:sz w:val="21"/>
                <w:szCs w:val="21"/>
              </w:rPr>
            </w:pPr>
            <w:r w:rsidRPr="007A3098">
              <w:rPr>
                <w:rFonts w:ascii="Arial" w:hAnsi="Arial" w:cs="Arial"/>
                <w:sz w:val="21"/>
                <w:szCs w:val="21"/>
              </w:rPr>
              <w:t>Reduce over longer term</w:t>
            </w:r>
          </w:p>
        </w:tc>
        <w:tc>
          <w:tcPr>
            <w:tcW w:w="5529" w:type="dxa"/>
            <w:vAlign w:val="center"/>
          </w:tcPr>
          <w:p w14:paraId="009ABAFB" w14:textId="4AD9F72E" w:rsidR="00F80F60" w:rsidRPr="00F80F60" w:rsidRDefault="00F80F60" w:rsidP="004B3024">
            <w:pPr>
              <w:rPr>
                <w:rFonts w:ascii="Arial" w:hAnsi="Arial" w:cs="Arial"/>
                <w:sz w:val="21"/>
                <w:szCs w:val="21"/>
                <w:highlight w:val="yellow"/>
              </w:rPr>
            </w:pPr>
            <w:r w:rsidRPr="004B3024">
              <w:rPr>
                <w:rFonts w:ascii="Arial" w:hAnsi="Arial" w:cs="Arial"/>
                <w:sz w:val="21"/>
                <w:szCs w:val="21"/>
              </w:rPr>
              <w:t xml:space="preserve">The 2020/21 budget as agreed in March 2020 did not identify any revenue budget to come from balances.  However, the pandemic situation has had budgetary impacts.   A further report on the budgetary impacts of the pandemic </w:t>
            </w:r>
            <w:r w:rsidR="004B3024" w:rsidRPr="004B3024">
              <w:rPr>
                <w:rFonts w:ascii="Arial" w:hAnsi="Arial" w:cs="Arial"/>
                <w:sz w:val="21"/>
                <w:szCs w:val="21"/>
              </w:rPr>
              <w:t>was</w:t>
            </w:r>
            <w:r w:rsidRPr="004B3024">
              <w:rPr>
                <w:rFonts w:ascii="Arial" w:hAnsi="Arial" w:cs="Arial"/>
                <w:sz w:val="21"/>
                <w:szCs w:val="21"/>
              </w:rPr>
              <w:t xml:space="preserve"> considered by Executive in September.</w:t>
            </w:r>
          </w:p>
        </w:tc>
      </w:tr>
      <w:tr w:rsidR="00F80F60" w:rsidRPr="002E7893" w14:paraId="440593E1" w14:textId="4B03DC4A" w:rsidTr="006B7077">
        <w:trPr>
          <w:trHeight w:val="454"/>
        </w:trPr>
        <w:tc>
          <w:tcPr>
            <w:tcW w:w="4106" w:type="dxa"/>
            <w:tcBorders>
              <w:top w:val="nil"/>
              <w:left w:val="single" w:sz="4" w:space="0" w:color="auto"/>
              <w:bottom w:val="single" w:sz="4" w:space="0" w:color="auto"/>
              <w:right w:val="single" w:sz="4" w:space="0" w:color="auto"/>
            </w:tcBorders>
            <w:shd w:val="clear" w:color="auto" w:fill="auto"/>
            <w:vAlign w:val="center"/>
          </w:tcPr>
          <w:p w14:paraId="2694166C" w14:textId="77777777" w:rsidR="00F80F60" w:rsidRPr="007A3098" w:rsidRDefault="00F80F60" w:rsidP="003410EB">
            <w:pPr>
              <w:rPr>
                <w:rFonts w:ascii="Arial" w:eastAsia="Times New Roman" w:hAnsi="Arial" w:cs="Arial"/>
                <w:color w:val="000000"/>
                <w:sz w:val="21"/>
                <w:szCs w:val="21"/>
                <w:lang w:eastAsia="en-GB"/>
              </w:rPr>
            </w:pPr>
            <w:r w:rsidRPr="007A3098">
              <w:rPr>
                <w:rFonts w:ascii="Arial" w:eastAsia="Times New Roman" w:hAnsi="Arial" w:cs="Arial"/>
                <w:color w:val="000000"/>
                <w:sz w:val="21"/>
                <w:szCs w:val="21"/>
                <w:lang w:eastAsia="en-GB"/>
              </w:rPr>
              <w:t>Level of forecast budget gap</w:t>
            </w:r>
          </w:p>
        </w:tc>
        <w:tc>
          <w:tcPr>
            <w:tcW w:w="1559" w:type="dxa"/>
            <w:vAlign w:val="center"/>
          </w:tcPr>
          <w:p w14:paraId="5BF24824" w14:textId="258D334A" w:rsidR="00F80F60" w:rsidRPr="007A3098" w:rsidRDefault="00F80F60" w:rsidP="003410EB">
            <w:pPr>
              <w:jc w:val="center"/>
              <w:rPr>
                <w:rFonts w:ascii="Arial" w:hAnsi="Arial" w:cs="Arial"/>
                <w:sz w:val="21"/>
                <w:szCs w:val="21"/>
              </w:rPr>
            </w:pPr>
            <w:r w:rsidRPr="007A3098">
              <w:rPr>
                <w:rFonts w:ascii="Arial" w:hAnsi="Arial" w:cs="Arial"/>
                <w:sz w:val="21"/>
                <w:szCs w:val="21"/>
              </w:rPr>
              <w:t>£2.2m 2021/22</w:t>
            </w:r>
          </w:p>
          <w:p w14:paraId="3456ED42" w14:textId="3EDED401" w:rsidR="00F80F60" w:rsidRPr="007A3098" w:rsidRDefault="00F80F60" w:rsidP="003410EB">
            <w:pPr>
              <w:jc w:val="center"/>
              <w:rPr>
                <w:rFonts w:ascii="Arial" w:hAnsi="Arial" w:cs="Arial"/>
                <w:sz w:val="21"/>
                <w:szCs w:val="21"/>
              </w:rPr>
            </w:pPr>
            <w:r w:rsidRPr="007A3098">
              <w:rPr>
                <w:rFonts w:ascii="Arial" w:hAnsi="Arial" w:cs="Arial"/>
                <w:sz w:val="21"/>
                <w:szCs w:val="21"/>
              </w:rPr>
              <w:t>£2.1m 2022/23</w:t>
            </w:r>
          </w:p>
        </w:tc>
        <w:tc>
          <w:tcPr>
            <w:tcW w:w="2835" w:type="dxa"/>
            <w:gridSpan w:val="3"/>
          </w:tcPr>
          <w:p w14:paraId="7C4B4D79" w14:textId="77777777" w:rsidR="00F80F60" w:rsidRPr="007A3098" w:rsidRDefault="00F80F60" w:rsidP="003410EB">
            <w:pPr>
              <w:jc w:val="center"/>
              <w:rPr>
                <w:rFonts w:ascii="Arial" w:hAnsi="Arial" w:cs="Arial"/>
                <w:sz w:val="21"/>
                <w:szCs w:val="21"/>
              </w:rPr>
            </w:pPr>
          </w:p>
          <w:p w14:paraId="0C3097F2" w14:textId="02E091F0" w:rsidR="00F80F60" w:rsidRPr="007A3098" w:rsidRDefault="00F80F60" w:rsidP="003410EB">
            <w:pPr>
              <w:jc w:val="center"/>
              <w:rPr>
                <w:rFonts w:ascii="Arial" w:hAnsi="Arial" w:cs="Arial"/>
                <w:sz w:val="21"/>
                <w:szCs w:val="21"/>
              </w:rPr>
            </w:pPr>
            <w:r w:rsidRPr="007A3098">
              <w:rPr>
                <w:rFonts w:ascii="Arial" w:hAnsi="Arial" w:cs="Arial"/>
                <w:sz w:val="21"/>
                <w:szCs w:val="21"/>
              </w:rPr>
              <w:t>Reported annually</w:t>
            </w:r>
          </w:p>
        </w:tc>
        <w:tc>
          <w:tcPr>
            <w:tcW w:w="1275" w:type="dxa"/>
            <w:vAlign w:val="center"/>
          </w:tcPr>
          <w:p w14:paraId="5F845DAD" w14:textId="6419009B" w:rsidR="00F80F60" w:rsidRPr="007A3098" w:rsidRDefault="00F80F60" w:rsidP="003410EB">
            <w:pPr>
              <w:jc w:val="center"/>
              <w:rPr>
                <w:rFonts w:ascii="Arial" w:hAnsi="Arial" w:cs="Arial"/>
                <w:sz w:val="21"/>
                <w:szCs w:val="21"/>
              </w:rPr>
            </w:pPr>
            <w:r w:rsidRPr="007A3098">
              <w:rPr>
                <w:rFonts w:ascii="Arial" w:hAnsi="Arial" w:cs="Arial"/>
                <w:sz w:val="21"/>
                <w:szCs w:val="21"/>
              </w:rPr>
              <w:t>Reduce over longer term</w:t>
            </w:r>
          </w:p>
        </w:tc>
        <w:tc>
          <w:tcPr>
            <w:tcW w:w="5529" w:type="dxa"/>
            <w:vAlign w:val="center"/>
          </w:tcPr>
          <w:p w14:paraId="6E26EA0F" w14:textId="72DDC8E8" w:rsidR="00F80F60" w:rsidRPr="00F80F60" w:rsidRDefault="6F7520DD" w:rsidP="005D5BD4">
            <w:pPr>
              <w:rPr>
                <w:rFonts w:ascii="Arial" w:hAnsi="Arial" w:cs="Arial"/>
                <w:sz w:val="21"/>
                <w:szCs w:val="21"/>
                <w:highlight w:val="yellow"/>
              </w:rPr>
            </w:pPr>
            <w:r w:rsidRPr="4C10ACC7">
              <w:rPr>
                <w:rFonts w:ascii="Arial" w:eastAsia="Arial" w:hAnsi="Arial" w:cs="Arial"/>
                <w:sz w:val="21"/>
                <w:szCs w:val="21"/>
              </w:rPr>
              <w:t>The current MTF</w:t>
            </w:r>
            <w:r w:rsidR="005D5BD4">
              <w:rPr>
                <w:rFonts w:ascii="Arial" w:eastAsia="Arial" w:hAnsi="Arial" w:cs="Arial"/>
                <w:sz w:val="21"/>
                <w:szCs w:val="21"/>
              </w:rPr>
              <w:t>P</w:t>
            </w:r>
            <w:r w:rsidRPr="4C10ACC7">
              <w:rPr>
                <w:rFonts w:ascii="Arial" w:eastAsia="Arial" w:hAnsi="Arial" w:cs="Arial"/>
                <w:sz w:val="21"/>
                <w:szCs w:val="21"/>
              </w:rPr>
              <w:t xml:space="preserve"> is being reviewed in detail to assess which of the assumptions made for 2021 and beyond will need to be amended in light of Covid-19 and the associated government announcements about the postponement of the expected Spending Review and reform to the Business Rates System.</w:t>
            </w:r>
            <w:r w:rsidR="005D5BD4">
              <w:rPr>
                <w:rFonts w:ascii="Arial" w:eastAsia="Arial" w:hAnsi="Arial" w:cs="Arial"/>
                <w:sz w:val="21"/>
                <w:szCs w:val="21"/>
              </w:rPr>
              <w:t xml:space="preserve"> The updated MTFP will go to Executive in November.</w:t>
            </w:r>
          </w:p>
        </w:tc>
      </w:tr>
      <w:tr w:rsidR="00AF6BAA" w:rsidRPr="002E7893" w14:paraId="027789E8" w14:textId="65EE2B52" w:rsidTr="006B7077">
        <w:trPr>
          <w:trHeight w:val="660"/>
        </w:trPr>
        <w:tc>
          <w:tcPr>
            <w:tcW w:w="4106" w:type="dxa"/>
            <w:tcBorders>
              <w:top w:val="nil"/>
              <w:left w:val="single" w:sz="4" w:space="0" w:color="auto"/>
              <w:bottom w:val="single" w:sz="4" w:space="0" w:color="auto"/>
              <w:right w:val="single" w:sz="4" w:space="0" w:color="auto"/>
            </w:tcBorders>
            <w:shd w:val="clear" w:color="auto" w:fill="auto"/>
            <w:vAlign w:val="center"/>
          </w:tcPr>
          <w:p w14:paraId="2506EE04" w14:textId="77777777" w:rsidR="00AF6BAA" w:rsidRPr="007A3098" w:rsidRDefault="00AF6BAA" w:rsidP="00AF6BAA">
            <w:pPr>
              <w:rPr>
                <w:rFonts w:ascii="Arial" w:eastAsia="Times New Roman" w:hAnsi="Arial" w:cs="Arial"/>
                <w:color w:val="000000"/>
                <w:sz w:val="21"/>
                <w:szCs w:val="21"/>
                <w:highlight w:val="lightGray"/>
                <w:lang w:eastAsia="en-GB"/>
              </w:rPr>
            </w:pPr>
            <w:r w:rsidRPr="007A3098">
              <w:rPr>
                <w:rFonts w:ascii="Arial" w:eastAsia="Times New Roman" w:hAnsi="Arial" w:cs="Arial"/>
                <w:color w:val="000000"/>
                <w:sz w:val="21"/>
                <w:szCs w:val="21"/>
                <w:lang w:eastAsia="en-GB"/>
              </w:rPr>
              <w:t>% of invoiced debt collected within 30 days of invoicing</w:t>
            </w:r>
          </w:p>
        </w:tc>
        <w:tc>
          <w:tcPr>
            <w:tcW w:w="1559" w:type="dxa"/>
            <w:vAlign w:val="center"/>
          </w:tcPr>
          <w:p w14:paraId="61F6A975" w14:textId="6B04B81E" w:rsidR="00AF6BAA" w:rsidRPr="007A3098" w:rsidRDefault="00AF6BAA" w:rsidP="00AF6BAA">
            <w:pPr>
              <w:jc w:val="center"/>
              <w:rPr>
                <w:rFonts w:ascii="Arial" w:hAnsi="Arial" w:cs="Arial"/>
                <w:sz w:val="21"/>
                <w:szCs w:val="21"/>
              </w:rPr>
            </w:pPr>
            <w:r w:rsidRPr="007A3098">
              <w:rPr>
                <w:rFonts w:ascii="Arial" w:hAnsi="Arial" w:cs="Arial"/>
                <w:sz w:val="21"/>
                <w:szCs w:val="21"/>
              </w:rPr>
              <w:t>58%</w:t>
            </w:r>
          </w:p>
        </w:tc>
        <w:tc>
          <w:tcPr>
            <w:tcW w:w="992" w:type="dxa"/>
            <w:vAlign w:val="center"/>
          </w:tcPr>
          <w:p w14:paraId="5D83D9A4" w14:textId="2041E538" w:rsidR="00AF6BAA" w:rsidRPr="007A3098" w:rsidRDefault="00AF6BAA" w:rsidP="00AF6BAA">
            <w:pPr>
              <w:jc w:val="center"/>
              <w:rPr>
                <w:rFonts w:ascii="Arial" w:hAnsi="Arial" w:cs="Arial"/>
                <w:sz w:val="21"/>
                <w:szCs w:val="21"/>
              </w:rPr>
            </w:pPr>
            <w:r w:rsidRPr="007A3098">
              <w:rPr>
                <w:rFonts w:ascii="Arial" w:hAnsi="Arial" w:cs="Arial"/>
                <w:sz w:val="21"/>
                <w:szCs w:val="21"/>
              </w:rPr>
              <w:t>55%</w:t>
            </w:r>
          </w:p>
        </w:tc>
        <w:tc>
          <w:tcPr>
            <w:tcW w:w="992" w:type="dxa"/>
            <w:vAlign w:val="center"/>
          </w:tcPr>
          <w:p w14:paraId="729C9A39" w14:textId="31B4E016" w:rsidR="00AF6BAA" w:rsidRPr="007A3098" w:rsidRDefault="00AF6BAA" w:rsidP="00AF6BAA">
            <w:pPr>
              <w:jc w:val="center"/>
              <w:rPr>
                <w:rFonts w:ascii="Arial" w:hAnsi="Arial" w:cs="Arial"/>
                <w:sz w:val="21"/>
                <w:szCs w:val="21"/>
              </w:rPr>
            </w:pPr>
            <w:r>
              <w:rPr>
                <w:rFonts w:ascii="Arial" w:hAnsi="Arial" w:cs="Arial"/>
                <w:sz w:val="21"/>
                <w:szCs w:val="21"/>
              </w:rPr>
              <w:t>54%</w:t>
            </w:r>
          </w:p>
        </w:tc>
        <w:tc>
          <w:tcPr>
            <w:tcW w:w="851" w:type="dxa"/>
            <w:vAlign w:val="center"/>
          </w:tcPr>
          <w:p w14:paraId="5AB57D8F" w14:textId="698B48B4" w:rsidR="00AF6BAA" w:rsidRPr="00F80F60" w:rsidRDefault="00AF6BAA" w:rsidP="00AF6BAA">
            <w:pPr>
              <w:jc w:val="center"/>
              <w:rPr>
                <w:rFonts w:ascii="Arial" w:hAnsi="Arial" w:cs="Arial"/>
                <w:sz w:val="32"/>
                <w:szCs w:val="32"/>
              </w:rPr>
            </w:pPr>
            <w:r w:rsidRPr="00F80F60">
              <w:rPr>
                <w:rFonts w:ascii="Wingdings 3" w:eastAsia="Wingdings 3" w:hAnsi="Wingdings 3" w:cs="Wingdings 3"/>
                <w:sz w:val="32"/>
                <w:szCs w:val="32"/>
              </w:rPr>
              <w:t></w:t>
            </w:r>
          </w:p>
        </w:tc>
        <w:tc>
          <w:tcPr>
            <w:tcW w:w="1275" w:type="dxa"/>
            <w:vAlign w:val="center"/>
          </w:tcPr>
          <w:p w14:paraId="7FBB77C9" w14:textId="587AECE8" w:rsidR="00AF6BAA" w:rsidRPr="007A3098" w:rsidRDefault="00AF6BAA" w:rsidP="00AF6BAA">
            <w:pPr>
              <w:jc w:val="center"/>
              <w:rPr>
                <w:rFonts w:ascii="Arial" w:hAnsi="Arial" w:cs="Arial"/>
                <w:sz w:val="21"/>
                <w:szCs w:val="21"/>
              </w:rPr>
            </w:pPr>
            <w:r w:rsidRPr="007A3098">
              <w:rPr>
                <w:rFonts w:ascii="Arial" w:hAnsi="Arial" w:cs="Arial"/>
                <w:sz w:val="21"/>
                <w:szCs w:val="21"/>
              </w:rPr>
              <w:t xml:space="preserve">Increase </w:t>
            </w:r>
          </w:p>
        </w:tc>
        <w:tc>
          <w:tcPr>
            <w:tcW w:w="5529" w:type="dxa"/>
            <w:vAlign w:val="center"/>
          </w:tcPr>
          <w:p w14:paraId="7D00DBF3" w14:textId="31B9C518" w:rsidR="00AF6BAA" w:rsidRPr="00F80F60" w:rsidRDefault="00501655" w:rsidP="00AF6BAA">
            <w:pPr>
              <w:rPr>
                <w:rFonts w:ascii="Arial" w:hAnsi="Arial" w:cs="Arial"/>
                <w:sz w:val="21"/>
                <w:szCs w:val="21"/>
                <w:highlight w:val="yellow"/>
              </w:rPr>
            </w:pPr>
            <w:r w:rsidRPr="00501655">
              <w:rPr>
                <w:rFonts w:ascii="Arial" w:hAnsi="Arial" w:cs="Arial"/>
                <w:sz w:val="21"/>
                <w:szCs w:val="21"/>
              </w:rPr>
              <w:t>Percentage is consistent both with previous months and previous quarters</w:t>
            </w:r>
            <w:r>
              <w:rPr>
                <w:rFonts w:ascii="Arial" w:hAnsi="Arial" w:cs="Arial"/>
                <w:sz w:val="21"/>
                <w:szCs w:val="21"/>
              </w:rPr>
              <w:t>.</w:t>
            </w:r>
          </w:p>
        </w:tc>
      </w:tr>
      <w:tr w:rsidR="00AF6BAA" w:rsidRPr="002E7893" w14:paraId="340877C3" w14:textId="25030073" w:rsidTr="006B7077">
        <w:trPr>
          <w:trHeight w:val="454"/>
        </w:trPr>
        <w:tc>
          <w:tcPr>
            <w:tcW w:w="4106" w:type="dxa"/>
            <w:vAlign w:val="center"/>
          </w:tcPr>
          <w:p w14:paraId="3EF22C7F" w14:textId="77777777" w:rsidR="00AF6BAA" w:rsidRPr="007A3098" w:rsidRDefault="00AF6BAA" w:rsidP="00AF6BAA">
            <w:pPr>
              <w:rPr>
                <w:rFonts w:ascii="Arial" w:hAnsi="Arial" w:cs="Arial"/>
                <w:sz w:val="21"/>
                <w:szCs w:val="21"/>
                <w:highlight w:val="lightGray"/>
              </w:rPr>
            </w:pPr>
            <w:r w:rsidRPr="007A3098">
              <w:rPr>
                <w:rFonts w:ascii="Arial" w:eastAsia="Times New Roman" w:hAnsi="Arial" w:cs="Arial"/>
                <w:color w:val="000000"/>
                <w:sz w:val="21"/>
                <w:szCs w:val="21"/>
                <w:lang w:eastAsia="en-GB"/>
              </w:rPr>
              <w:t>% of debt outstanding for over 90 days</w:t>
            </w:r>
          </w:p>
        </w:tc>
        <w:tc>
          <w:tcPr>
            <w:tcW w:w="1559" w:type="dxa"/>
            <w:vAlign w:val="center"/>
          </w:tcPr>
          <w:p w14:paraId="0EA0FD98" w14:textId="54460833" w:rsidR="00AF6BAA" w:rsidRPr="007A3098" w:rsidRDefault="00AF6BAA" w:rsidP="00AF6BAA">
            <w:pPr>
              <w:jc w:val="center"/>
              <w:rPr>
                <w:rFonts w:ascii="Arial" w:hAnsi="Arial" w:cs="Arial"/>
                <w:sz w:val="21"/>
                <w:szCs w:val="21"/>
              </w:rPr>
            </w:pPr>
            <w:r w:rsidRPr="007A3098">
              <w:rPr>
                <w:rFonts w:ascii="Arial" w:hAnsi="Arial" w:cs="Arial"/>
                <w:sz w:val="21"/>
                <w:szCs w:val="21"/>
              </w:rPr>
              <w:t>29%</w:t>
            </w:r>
          </w:p>
        </w:tc>
        <w:tc>
          <w:tcPr>
            <w:tcW w:w="992" w:type="dxa"/>
            <w:vAlign w:val="center"/>
          </w:tcPr>
          <w:p w14:paraId="437F8DEC" w14:textId="6915FD10" w:rsidR="00AF6BAA" w:rsidRPr="007A3098" w:rsidRDefault="00AF6BAA" w:rsidP="00AF6BAA">
            <w:pPr>
              <w:jc w:val="center"/>
              <w:rPr>
                <w:rFonts w:ascii="Arial" w:hAnsi="Arial" w:cs="Arial"/>
                <w:sz w:val="21"/>
                <w:szCs w:val="21"/>
              </w:rPr>
            </w:pPr>
            <w:r w:rsidRPr="007A3098">
              <w:rPr>
                <w:rFonts w:ascii="Arial" w:hAnsi="Arial" w:cs="Arial"/>
                <w:sz w:val="21"/>
                <w:szCs w:val="21"/>
              </w:rPr>
              <w:t>28%</w:t>
            </w:r>
          </w:p>
        </w:tc>
        <w:tc>
          <w:tcPr>
            <w:tcW w:w="992" w:type="dxa"/>
            <w:shd w:val="clear" w:color="auto" w:fill="auto"/>
            <w:vAlign w:val="center"/>
          </w:tcPr>
          <w:p w14:paraId="218DF1C7" w14:textId="07838EF9" w:rsidR="00AF6BAA" w:rsidRPr="007A3098" w:rsidRDefault="00F80F60" w:rsidP="00F80F60">
            <w:pPr>
              <w:jc w:val="center"/>
              <w:rPr>
                <w:rFonts w:ascii="Arial" w:hAnsi="Arial" w:cs="Arial"/>
                <w:sz w:val="21"/>
                <w:szCs w:val="21"/>
              </w:rPr>
            </w:pPr>
            <w:r>
              <w:rPr>
                <w:rFonts w:ascii="Arial" w:hAnsi="Arial" w:cs="Arial"/>
                <w:sz w:val="21"/>
                <w:szCs w:val="21"/>
              </w:rPr>
              <w:t>29%</w:t>
            </w:r>
          </w:p>
        </w:tc>
        <w:tc>
          <w:tcPr>
            <w:tcW w:w="851" w:type="dxa"/>
            <w:vAlign w:val="center"/>
          </w:tcPr>
          <w:p w14:paraId="096EFED7" w14:textId="2321FFE5" w:rsidR="00AF6BAA" w:rsidRPr="00F80F60" w:rsidRDefault="00F80F60" w:rsidP="00F80F60">
            <w:pPr>
              <w:jc w:val="center"/>
              <w:rPr>
                <w:rFonts w:ascii="Arial" w:hAnsi="Arial" w:cs="Arial"/>
                <w:sz w:val="32"/>
                <w:szCs w:val="32"/>
              </w:rPr>
            </w:pPr>
            <w:r w:rsidRPr="00F80F60">
              <w:rPr>
                <w:rFonts w:ascii="Wingdings 3" w:eastAsia="Wingdings 3" w:hAnsi="Wingdings 3" w:cs="Wingdings 3"/>
                <w:sz w:val="32"/>
                <w:szCs w:val="32"/>
              </w:rPr>
              <w:t></w:t>
            </w:r>
          </w:p>
        </w:tc>
        <w:tc>
          <w:tcPr>
            <w:tcW w:w="1275" w:type="dxa"/>
            <w:vAlign w:val="center"/>
          </w:tcPr>
          <w:p w14:paraId="212BB30A" w14:textId="16B9091A" w:rsidR="00AF6BAA" w:rsidRPr="007A3098" w:rsidRDefault="00AF6BAA" w:rsidP="00AF6BAA">
            <w:pPr>
              <w:jc w:val="center"/>
              <w:rPr>
                <w:rFonts w:ascii="Arial" w:hAnsi="Arial" w:cs="Arial"/>
                <w:sz w:val="21"/>
                <w:szCs w:val="21"/>
              </w:rPr>
            </w:pPr>
            <w:r w:rsidRPr="007A3098">
              <w:rPr>
                <w:rFonts w:ascii="Arial" w:hAnsi="Arial" w:cs="Arial"/>
                <w:sz w:val="21"/>
                <w:szCs w:val="21"/>
              </w:rPr>
              <w:t xml:space="preserve">Reduce </w:t>
            </w:r>
          </w:p>
        </w:tc>
        <w:tc>
          <w:tcPr>
            <w:tcW w:w="5529" w:type="dxa"/>
            <w:vAlign w:val="center"/>
          </w:tcPr>
          <w:p w14:paraId="7F350953" w14:textId="604E48C0" w:rsidR="00AF6BAA" w:rsidRPr="00F80F60" w:rsidRDefault="00501655" w:rsidP="00006AD2">
            <w:pPr>
              <w:rPr>
                <w:rFonts w:ascii="Arial" w:hAnsi="Arial" w:cs="Arial"/>
                <w:sz w:val="21"/>
                <w:szCs w:val="21"/>
                <w:highlight w:val="yellow"/>
              </w:rPr>
            </w:pPr>
            <w:r w:rsidRPr="00501655">
              <w:rPr>
                <w:rFonts w:ascii="Arial" w:hAnsi="Arial" w:cs="Arial"/>
                <w:sz w:val="21"/>
                <w:szCs w:val="21"/>
              </w:rPr>
              <w:t>The quarter</w:t>
            </w:r>
            <w:r>
              <w:rPr>
                <w:rFonts w:ascii="Arial" w:hAnsi="Arial" w:cs="Arial"/>
                <w:sz w:val="21"/>
                <w:szCs w:val="21"/>
              </w:rPr>
              <w:t xml:space="preserve">ly percentage of debts over 90 </w:t>
            </w:r>
            <w:r w:rsidRPr="00501655">
              <w:rPr>
                <w:rFonts w:ascii="Arial" w:hAnsi="Arial" w:cs="Arial"/>
                <w:sz w:val="21"/>
                <w:szCs w:val="21"/>
              </w:rPr>
              <w:t xml:space="preserve">days is consistent with </w:t>
            </w:r>
            <w:r w:rsidR="00006AD2">
              <w:rPr>
                <w:rFonts w:ascii="Arial" w:hAnsi="Arial" w:cs="Arial"/>
                <w:sz w:val="21"/>
                <w:szCs w:val="21"/>
              </w:rPr>
              <w:t xml:space="preserve">the </w:t>
            </w:r>
            <w:r w:rsidRPr="00501655">
              <w:rPr>
                <w:rFonts w:ascii="Arial" w:hAnsi="Arial" w:cs="Arial"/>
                <w:sz w:val="21"/>
                <w:szCs w:val="21"/>
              </w:rPr>
              <w:t>previous quarter</w:t>
            </w:r>
            <w:r w:rsidR="00006AD2">
              <w:rPr>
                <w:rFonts w:ascii="Arial" w:hAnsi="Arial" w:cs="Arial"/>
                <w:sz w:val="21"/>
                <w:szCs w:val="21"/>
              </w:rPr>
              <w:t>.</w:t>
            </w:r>
            <w:r w:rsidRPr="00501655">
              <w:rPr>
                <w:rFonts w:ascii="Arial" w:hAnsi="Arial" w:cs="Arial"/>
                <w:sz w:val="21"/>
                <w:szCs w:val="21"/>
              </w:rPr>
              <w:t xml:space="preserve"> </w:t>
            </w:r>
          </w:p>
        </w:tc>
      </w:tr>
      <w:tr w:rsidR="00AF6BAA" w:rsidRPr="002E7893" w14:paraId="708886A6" w14:textId="30B3B548" w:rsidTr="006B7077">
        <w:trPr>
          <w:trHeight w:val="454"/>
        </w:trPr>
        <w:tc>
          <w:tcPr>
            <w:tcW w:w="4106" w:type="dxa"/>
            <w:vAlign w:val="center"/>
          </w:tcPr>
          <w:p w14:paraId="43E74450" w14:textId="77777777" w:rsidR="00AF6BAA" w:rsidRPr="007A3098" w:rsidDel="00461EB3" w:rsidRDefault="00AF6BAA" w:rsidP="00AF6BAA">
            <w:pPr>
              <w:rPr>
                <w:rFonts w:ascii="Arial" w:eastAsia="Times New Roman" w:hAnsi="Arial" w:cs="Arial"/>
                <w:color w:val="000000"/>
                <w:sz w:val="21"/>
                <w:szCs w:val="21"/>
                <w:lang w:eastAsia="en-GB"/>
              </w:rPr>
            </w:pPr>
            <w:r w:rsidRPr="007A3098">
              <w:rPr>
                <w:rFonts w:ascii="Arial" w:eastAsia="Times New Roman" w:hAnsi="Arial" w:cs="Arial"/>
                <w:color w:val="000000"/>
                <w:sz w:val="21"/>
                <w:szCs w:val="21"/>
                <w:lang w:eastAsia="en-GB"/>
              </w:rPr>
              <w:t>NNDR collection rate</w:t>
            </w:r>
          </w:p>
        </w:tc>
        <w:tc>
          <w:tcPr>
            <w:tcW w:w="1559" w:type="dxa"/>
            <w:vAlign w:val="center"/>
          </w:tcPr>
          <w:p w14:paraId="13AA6841" w14:textId="0D182BC3" w:rsidR="00AF6BAA" w:rsidRPr="007A3098" w:rsidRDefault="00AF6BAA" w:rsidP="00AF6BAA">
            <w:pPr>
              <w:jc w:val="center"/>
              <w:rPr>
                <w:rFonts w:ascii="Arial" w:hAnsi="Arial" w:cs="Arial"/>
                <w:sz w:val="21"/>
                <w:szCs w:val="21"/>
              </w:rPr>
            </w:pPr>
            <w:r w:rsidRPr="007A3098">
              <w:rPr>
                <w:rFonts w:ascii="Arial" w:hAnsi="Arial" w:cs="Arial"/>
                <w:sz w:val="21"/>
                <w:szCs w:val="21"/>
              </w:rPr>
              <w:t>98.48%</w:t>
            </w:r>
          </w:p>
        </w:tc>
        <w:tc>
          <w:tcPr>
            <w:tcW w:w="992" w:type="dxa"/>
            <w:shd w:val="clear" w:color="auto" w:fill="FFC000" w:themeFill="accent4"/>
            <w:vAlign w:val="center"/>
          </w:tcPr>
          <w:p w14:paraId="533FA7BA" w14:textId="391586CA" w:rsidR="00AF6BAA" w:rsidRPr="007A3098" w:rsidRDefault="00AF6BAA" w:rsidP="00AF6BAA">
            <w:pPr>
              <w:jc w:val="center"/>
              <w:rPr>
                <w:rFonts w:ascii="Arial" w:hAnsi="Arial" w:cs="Arial"/>
                <w:sz w:val="21"/>
                <w:szCs w:val="21"/>
              </w:rPr>
            </w:pPr>
            <w:r w:rsidRPr="007A3098">
              <w:rPr>
                <w:rFonts w:ascii="Arial" w:hAnsi="Arial" w:cs="Arial"/>
                <w:sz w:val="21"/>
                <w:szCs w:val="21"/>
              </w:rPr>
              <w:t>29.47%</w:t>
            </w:r>
          </w:p>
        </w:tc>
        <w:tc>
          <w:tcPr>
            <w:tcW w:w="992" w:type="dxa"/>
            <w:shd w:val="clear" w:color="auto" w:fill="FFC000" w:themeFill="accent4"/>
            <w:vAlign w:val="center"/>
          </w:tcPr>
          <w:p w14:paraId="3EDEBD07" w14:textId="2EAFFE3D" w:rsidR="00AF6BAA" w:rsidRPr="007A3098" w:rsidRDefault="00F80F60" w:rsidP="00F80F60">
            <w:pPr>
              <w:jc w:val="center"/>
              <w:rPr>
                <w:rFonts w:ascii="Arial" w:hAnsi="Arial" w:cs="Arial"/>
                <w:sz w:val="21"/>
                <w:szCs w:val="21"/>
              </w:rPr>
            </w:pPr>
            <w:r>
              <w:rPr>
                <w:rFonts w:ascii="Arial" w:hAnsi="Arial" w:cs="Arial"/>
                <w:sz w:val="21"/>
                <w:szCs w:val="21"/>
              </w:rPr>
              <w:t>55.51%</w:t>
            </w:r>
          </w:p>
        </w:tc>
        <w:tc>
          <w:tcPr>
            <w:tcW w:w="851" w:type="dxa"/>
            <w:vAlign w:val="center"/>
          </w:tcPr>
          <w:p w14:paraId="7E9ACE79" w14:textId="38FE407B" w:rsidR="00AF6BAA" w:rsidRPr="00F80F60" w:rsidRDefault="00AF6BAA" w:rsidP="00AF6BAA">
            <w:pPr>
              <w:jc w:val="center"/>
              <w:rPr>
                <w:rFonts w:ascii="Arial" w:hAnsi="Arial" w:cs="Arial"/>
                <w:sz w:val="32"/>
                <w:szCs w:val="32"/>
              </w:rPr>
            </w:pPr>
            <w:r w:rsidRPr="00F80F60">
              <w:rPr>
                <w:rFonts w:ascii="Wingdings 3" w:eastAsia="Wingdings 3" w:hAnsi="Wingdings 3" w:cs="Wingdings 3"/>
                <w:sz w:val="32"/>
                <w:szCs w:val="32"/>
              </w:rPr>
              <w:t></w:t>
            </w:r>
          </w:p>
        </w:tc>
        <w:tc>
          <w:tcPr>
            <w:tcW w:w="1275" w:type="dxa"/>
            <w:vAlign w:val="center"/>
          </w:tcPr>
          <w:p w14:paraId="00BB0651" w14:textId="6AFACBB0" w:rsidR="00AF6BAA" w:rsidRPr="007A3098" w:rsidRDefault="00AF6BAA" w:rsidP="00AF6BAA">
            <w:pPr>
              <w:jc w:val="center"/>
              <w:rPr>
                <w:rFonts w:ascii="Arial" w:hAnsi="Arial" w:cs="Arial"/>
                <w:sz w:val="21"/>
                <w:szCs w:val="21"/>
              </w:rPr>
            </w:pPr>
            <w:r w:rsidRPr="007A3098">
              <w:rPr>
                <w:rFonts w:ascii="Arial" w:hAnsi="Arial" w:cs="Arial"/>
                <w:sz w:val="21"/>
                <w:szCs w:val="21"/>
              </w:rPr>
              <w:t>97.70%</w:t>
            </w:r>
          </w:p>
        </w:tc>
        <w:tc>
          <w:tcPr>
            <w:tcW w:w="5529" w:type="dxa"/>
            <w:vAlign w:val="center"/>
          </w:tcPr>
          <w:p w14:paraId="793E5602" w14:textId="0A33C0EF" w:rsidR="00AF6BAA" w:rsidRPr="004B3024" w:rsidRDefault="00AF6BAA" w:rsidP="00AF6BAA">
            <w:pPr>
              <w:rPr>
                <w:rFonts w:ascii="Arial" w:hAnsi="Arial" w:cs="Arial"/>
                <w:sz w:val="21"/>
                <w:szCs w:val="21"/>
              </w:rPr>
            </w:pPr>
            <w:r w:rsidRPr="004B3024">
              <w:rPr>
                <w:rFonts w:ascii="Arial" w:hAnsi="Arial" w:cs="Arial"/>
                <w:sz w:val="21"/>
                <w:szCs w:val="21"/>
              </w:rPr>
              <w:t xml:space="preserve">The collection rate has been affected by the pandemic situation and recovery action being suspended for the first </w:t>
            </w:r>
            <w:r w:rsidR="007B4087">
              <w:rPr>
                <w:rFonts w:ascii="Arial" w:hAnsi="Arial" w:cs="Arial"/>
                <w:sz w:val="21"/>
                <w:szCs w:val="21"/>
              </w:rPr>
              <w:t xml:space="preserve">two </w:t>
            </w:r>
            <w:r w:rsidRPr="004B3024">
              <w:rPr>
                <w:rFonts w:ascii="Arial" w:hAnsi="Arial" w:cs="Arial"/>
                <w:sz w:val="21"/>
                <w:szCs w:val="21"/>
              </w:rPr>
              <w:t>quarter</w:t>
            </w:r>
            <w:r w:rsidR="007B4087">
              <w:rPr>
                <w:rFonts w:ascii="Arial" w:hAnsi="Arial" w:cs="Arial"/>
                <w:sz w:val="21"/>
                <w:szCs w:val="21"/>
              </w:rPr>
              <w:t>s</w:t>
            </w:r>
            <w:r w:rsidRPr="004B3024">
              <w:rPr>
                <w:rFonts w:ascii="Arial" w:hAnsi="Arial" w:cs="Arial"/>
                <w:sz w:val="21"/>
                <w:szCs w:val="21"/>
              </w:rPr>
              <w:t xml:space="preserve"> of the financial year. </w:t>
            </w:r>
          </w:p>
        </w:tc>
      </w:tr>
      <w:tr w:rsidR="00AF6BAA" w:rsidRPr="002E7893" w14:paraId="4CCD8962" w14:textId="6776762C" w:rsidTr="006B7077">
        <w:trPr>
          <w:trHeight w:val="454"/>
        </w:trPr>
        <w:tc>
          <w:tcPr>
            <w:tcW w:w="4106" w:type="dxa"/>
            <w:vAlign w:val="center"/>
          </w:tcPr>
          <w:p w14:paraId="40A292B4" w14:textId="77777777" w:rsidR="00AF6BAA" w:rsidRPr="007A3098" w:rsidRDefault="00AF6BAA" w:rsidP="00AF6BAA">
            <w:pPr>
              <w:rPr>
                <w:rFonts w:ascii="Arial" w:eastAsia="Times New Roman" w:hAnsi="Arial" w:cs="Arial"/>
                <w:color w:val="000000"/>
                <w:sz w:val="21"/>
                <w:szCs w:val="21"/>
                <w:lang w:eastAsia="en-GB"/>
              </w:rPr>
            </w:pPr>
            <w:r w:rsidRPr="007A3098">
              <w:rPr>
                <w:rFonts w:ascii="Arial" w:eastAsia="Times New Roman" w:hAnsi="Arial" w:cs="Arial"/>
                <w:color w:val="000000"/>
                <w:sz w:val="21"/>
                <w:szCs w:val="21"/>
                <w:lang w:eastAsia="en-GB"/>
              </w:rPr>
              <w:lastRenderedPageBreak/>
              <w:t>Council Tax collection rate</w:t>
            </w:r>
          </w:p>
        </w:tc>
        <w:tc>
          <w:tcPr>
            <w:tcW w:w="1559" w:type="dxa"/>
            <w:vAlign w:val="center"/>
          </w:tcPr>
          <w:p w14:paraId="5C29C903" w14:textId="2D2E878A" w:rsidR="00AF6BAA" w:rsidRPr="007A3098" w:rsidRDefault="00AF6BAA" w:rsidP="00AF6BAA">
            <w:pPr>
              <w:jc w:val="center"/>
              <w:rPr>
                <w:rFonts w:ascii="Arial" w:hAnsi="Arial" w:cs="Arial"/>
                <w:sz w:val="21"/>
                <w:szCs w:val="21"/>
              </w:rPr>
            </w:pPr>
            <w:r w:rsidRPr="007A3098">
              <w:rPr>
                <w:rFonts w:ascii="Arial" w:hAnsi="Arial" w:cs="Arial"/>
                <w:sz w:val="21"/>
                <w:szCs w:val="21"/>
              </w:rPr>
              <w:t>97.38%</w:t>
            </w:r>
          </w:p>
        </w:tc>
        <w:tc>
          <w:tcPr>
            <w:tcW w:w="992" w:type="dxa"/>
            <w:shd w:val="clear" w:color="auto" w:fill="FFC000" w:themeFill="accent4"/>
            <w:vAlign w:val="center"/>
          </w:tcPr>
          <w:p w14:paraId="570CF1AC" w14:textId="113EE919" w:rsidR="00AF6BAA" w:rsidRPr="007A3098" w:rsidRDefault="00AF6BAA" w:rsidP="00AF6BAA">
            <w:pPr>
              <w:jc w:val="center"/>
              <w:rPr>
                <w:rFonts w:ascii="Arial" w:hAnsi="Arial" w:cs="Arial"/>
                <w:sz w:val="21"/>
                <w:szCs w:val="21"/>
              </w:rPr>
            </w:pPr>
            <w:r w:rsidRPr="007A3098">
              <w:rPr>
                <w:rFonts w:ascii="Arial" w:hAnsi="Arial" w:cs="Arial"/>
                <w:sz w:val="21"/>
                <w:szCs w:val="21"/>
              </w:rPr>
              <w:t>28.85%</w:t>
            </w:r>
          </w:p>
        </w:tc>
        <w:tc>
          <w:tcPr>
            <w:tcW w:w="992" w:type="dxa"/>
            <w:shd w:val="clear" w:color="auto" w:fill="FFC000" w:themeFill="accent4"/>
            <w:vAlign w:val="center"/>
          </w:tcPr>
          <w:p w14:paraId="50333A39" w14:textId="4FBE9437" w:rsidR="00AF6BAA" w:rsidRPr="007A3098" w:rsidRDefault="00F80F60" w:rsidP="00F80F60">
            <w:pPr>
              <w:jc w:val="center"/>
              <w:rPr>
                <w:rFonts w:ascii="Arial" w:hAnsi="Arial" w:cs="Arial"/>
                <w:sz w:val="21"/>
                <w:szCs w:val="21"/>
              </w:rPr>
            </w:pPr>
            <w:r w:rsidRPr="00AF6BAA">
              <w:rPr>
                <w:rFonts w:ascii="Arial" w:hAnsi="Arial" w:cs="Arial"/>
                <w:sz w:val="21"/>
                <w:szCs w:val="21"/>
              </w:rPr>
              <w:t>56.77%</w:t>
            </w:r>
          </w:p>
        </w:tc>
        <w:tc>
          <w:tcPr>
            <w:tcW w:w="851" w:type="dxa"/>
            <w:vAlign w:val="center"/>
          </w:tcPr>
          <w:p w14:paraId="77EDA71E" w14:textId="09C61E64" w:rsidR="00AF6BAA" w:rsidRPr="00F80F60" w:rsidRDefault="00AF6BAA" w:rsidP="00AF6BAA">
            <w:pPr>
              <w:jc w:val="center"/>
              <w:rPr>
                <w:rFonts w:ascii="Arial" w:hAnsi="Arial" w:cs="Arial"/>
                <w:sz w:val="32"/>
                <w:szCs w:val="32"/>
              </w:rPr>
            </w:pPr>
            <w:r w:rsidRPr="00F80F60">
              <w:rPr>
                <w:rFonts w:ascii="Wingdings 3" w:eastAsia="Wingdings 3" w:hAnsi="Wingdings 3" w:cs="Wingdings 3"/>
                <w:sz w:val="32"/>
                <w:szCs w:val="32"/>
              </w:rPr>
              <w:t></w:t>
            </w:r>
          </w:p>
        </w:tc>
        <w:tc>
          <w:tcPr>
            <w:tcW w:w="1275" w:type="dxa"/>
            <w:vAlign w:val="center"/>
          </w:tcPr>
          <w:p w14:paraId="2E12ED84" w14:textId="3F19C82E" w:rsidR="00AF6BAA" w:rsidRPr="007A3098" w:rsidRDefault="00AF6BAA" w:rsidP="00AF6BAA">
            <w:pPr>
              <w:jc w:val="center"/>
              <w:rPr>
                <w:rFonts w:ascii="Arial" w:hAnsi="Arial" w:cs="Arial"/>
                <w:sz w:val="21"/>
                <w:szCs w:val="21"/>
              </w:rPr>
            </w:pPr>
            <w:r w:rsidRPr="007A3098">
              <w:rPr>
                <w:rFonts w:ascii="Arial" w:hAnsi="Arial" w:cs="Arial"/>
                <w:sz w:val="21"/>
                <w:szCs w:val="21"/>
              </w:rPr>
              <w:t>97.20%</w:t>
            </w:r>
          </w:p>
        </w:tc>
        <w:tc>
          <w:tcPr>
            <w:tcW w:w="5529" w:type="dxa"/>
            <w:vAlign w:val="center"/>
          </w:tcPr>
          <w:p w14:paraId="46A0621B" w14:textId="658A8B5F" w:rsidR="00AF6BAA" w:rsidRPr="004B3024" w:rsidRDefault="00AF6BAA" w:rsidP="00AF6BAA">
            <w:pPr>
              <w:rPr>
                <w:rFonts w:ascii="Arial" w:hAnsi="Arial" w:cs="Arial"/>
                <w:sz w:val="21"/>
                <w:szCs w:val="21"/>
              </w:rPr>
            </w:pPr>
            <w:r w:rsidRPr="004B3024">
              <w:rPr>
                <w:rFonts w:ascii="Arial" w:hAnsi="Arial" w:cs="Arial"/>
                <w:sz w:val="21"/>
                <w:szCs w:val="21"/>
              </w:rPr>
              <w:t xml:space="preserve">The collection rate has been affected by the pandemic situation and recovery action being suspended for the first </w:t>
            </w:r>
            <w:r w:rsidR="007B4087">
              <w:rPr>
                <w:rFonts w:ascii="Arial" w:hAnsi="Arial" w:cs="Arial"/>
                <w:sz w:val="21"/>
                <w:szCs w:val="21"/>
              </w:rPr>
              <w:t xml:space="preserve">two </w:t>
            </w:r>
            <w:r w:rsidRPr="004B3024">
              <w:rPr>
                <w:rFonts w:ascii="Arial" w:hAnsi="Arial" w:cs="Arial"/>
                <w:sz w:val="21"/>
                <w:szCs w:val="21"/>
              </w:rPr>
              <w:t>quarter</w:t>
            </w:r>
            <w:r w:rsidR="007B4087">
              <w:rPr>
                <w:rFonts w:ascii="Arial" w:hAnsi="Arial" w:cs="Arial"/>
                <w:sz w:val="21"/>
                <w:szCs w:val="21"/>
              </w:rPr>
              <w:t>s</w:t>
            </w:r>
            <w:r w:rsidRPr="004B3024">
              <w:rPr>
                <w:rFonts w:ascii="Arial" w:hAnsi="Arial" w:cs="Arial"/>
                <w:sz w:val="21"/>
                <w:szCs w:val="21"/>
              </w:rPr>
              <w:t xml:space="preserve"> of the financial year.</w:t>
            </w:r>
          </w:p>
        </w:tc>
      </w:tr>
      <w:tr w:rsidR="00AF6BAA" w:rsidRPr="002E7893" w14:paraId="4AC28FEB" w14:textId="11E083C6" w:rsidTr="006B7077">
        <w:trPr>
          <w:trHeight w:val="454"/>
        </w:trPr>
        <w:tc>
          <w:tcPr>
            <w:tcW w:w="4106" w:type="dxa"/>
            <w:vAlign w:val="center"/>
          </w:tcPr>
          <w:p w14:paraId="041C61B3" w14:textId="77777777" w:rsidR="00AF6BAA" w:rsidRPr="007A3098" w:rsidRDefault="00AF6BAA" w:rsidP="00AF6BAA">
            <w:pPr>
              <w:rPr>
                <w:rFonts w:ascii="Arial" w:eastAsia="Times New Roman" w:hAnsi="Arial" w:cs="Arial"/>
                <w:color w:val="000000"/>
                <w:sz w:val="21"/>
                <w:szCs w:val="21"/>
                <w:lang w:eastAsia="en-GB"/>
              </w:rPr>
            </w:pPr>
            <w:r w:rsidRPr="007A3098">
              <w:rPr>
                <w:rFonts w:ascii="Arial" w:eastAsia="Times New Roman" w:hAnsi="Arial" w:cs="Arial"/>
                <w:color w:val="000000"/>
                <w:sz w:val="21"/>
                <w:szCs w:val="21"/>
                <w:lang w:eastAsia="en-GB"/>
              </w:rPr>
              <w:t>Occupancy rates of Council’s property portfolio</w:t>
            </w:r>
          </w:p>
        </w:tc>
        <w:tc>
          <w:tcPr>
            <w:tcW w:w="1559" w:type="dxa"/>
            <w:vAlign w:val="center"/>
          </w:tcPr>
          <w:p w14:paraId="74FF6411" w14:textId="5A83493A" w:rsidR="00AF6BAA" w:rsidRPr="007A3098" w:rsidRDefault="00AF6BAA" w:rsidP="00AF6BAA">
            <w:pPr>
              <w:jc w:val="center"/>
              <w:rPr>
                <w:rFonts w:ascii="Arial" w:hAnsi="Arial" w:cs="Arial"/>
                <w:sz w:val="21"/>
                <w:szCs w:val="21"/>
              </w:rPr>
            </w:pPr>
            <w:r w:rsidRPr="007A3098">
              <w:rPr>
                <w:rFonts w:ascii="Arial" w:hAnsi="Arial" w:cs="Arial"/>
                <w:sz w:val="21"/>
                <w:szCs w:val="21"/>
              </w:rPr>
              <w:t>91%</w:t>
            </w:r>
          </w:p>
        </w:tc>
        <w:tc>
          <w:tcPr>
            <w:tcW w:w="992" w:type="dxa"/>
            <w:shd w:val="clear" w:color="auto" w:fill="92D050"/>
            <w:vAlign w:val="center"/>
          </w:tcPr>
          <w:p w14:paraId="72E71DE8" w14:textId="333288FA" w:rsidR="00AF6BAA" w:rsidRPr="007A3098" w:rsidRDefault="00AF6BAA" w:rsidP="00AF6BAA">
            <w:pPr>
              <w:jc w:val="center"/>
              <w:rPr>
                <w:rFonts w:ascii="Arial" w:hAnsi="Arial" w:cs="Arial"/>
                <w:sz w:val="21"/>
                <w:szCs w:val="21"/>
              </w:rPr>
            </w:pPr>
            <w:r w:rsidRPr="007A3098">
              <w:rPr>
                <w:rFonts w:ascii="Arial" w:hAnsi="Arial" w:cs="Arial"/>
                <w:sz w:val="21"/>
                <w:szCs w:val="21"/>
              </w:rPr>
              <w:t>91%</w:t>
            </w:r>
          </w:p>
        </w:tc>
        <w:tc>
          <w:tcPr>
            <w:tcW w:w="992" w:type="dxa"/>
            <w:shd w:val="clear" w:color="auto" w:fill="92D050"/>
            <w:vAlign w:val="center"/>
          </w:tcPr>
          <w:p w14:paraId="2E624631" w14:textId="60D1FF69" w:rsidR="00AF6BAA" w:rsidRPr="00B52D54" w:rsidRDefault="00B52D54" w:rsidP="00AF6BAA">
            <w:pPr>
              <w:jc w:val="center"/>
              <w:rPr>
                <w:rFonts w:ascii="Arial" w:hAnsi="Arial" w:cs="Arial"/>
                <w:sz w:val="21"/>
                <w:szCs w:val="21"/>
              </w:rPr>
            </w:pPr>
            <w:r>
              <w:rPr>
                <w:rFonts w:ascii="Arial" w:hAnsi="Arial" w:cs="Arial"/>
                <w:sz w:val="21"/>
                <w:szCs w:val="21"/>
              </w:rPr>
              <w:t>94%</w:t>
            </w:r>
          </w:p>
        </w:tc>
        <w:tc>
          <w:tcPr>
            <w:tcW w:w="851" w:type="dxa"/>
            <w:shd w:val="clear" w:color="auto" w:fill="auto"/>
            <w:vAlign w:val="center"/>
          </w:tcPr>
          <w:p w14:paraId="40655667" w14:textId="7AD3A2EA" w:rsidR="00AF6BAA" w:rsidRPr="00B52D54" w:rsidRDefault="00B52D54" w:rsidP="00AF6BAA">
            <w:pPr>
              <w:jc w:val="center"/>
              <w:rPr>
                <w:rFonts w:ascii="Arial" w:hAnsi="Arial" w:cs="Arial"/>
                <w:sz w:val="32"/>
                <w:szCs w:val="32"/>
              </w:rPr>
            </w:pPr>
            <w:r w:rsidRPr="00E14EFF">
              <w:rPr>
                <w:rFonts w:ascii="Wingdings 3" w:eastAsia="Wingdings 3" w:hAnsi="Wingdings 3" w:cs="Wingdings 3"/>
                <w:sz w:val="32"/>
                <w:szCs w:val="21"/>
              </w:rPr>
              <w:t></w:t>
            </w:r>
          </w:p>
        </w:tc>
        <w:tc>
          <w:tcPr>
            <w:tcW w:w="1275" w:type="dxa"/>
            <w:vAlign w:val="center"/>
          </w:tcPr>
          <w:p w14:paraId="37E87CBC" w14:textId="773F4059" w:rsidR="00AF6BAA" w:rsidRPr="007A3098" w:rsidRDefault="00AF6BAA" w:rsidP="00AF6BAA">
            <w:pPr>
              <w:jc w:val="center"/>
              <w:rPr>
                <w:rFonts w:ascii="Arial" w:hAnsi="Arial" w:cs="Arial"/>
                <w:sz w:val="21"/>
                <w:szCs w:val="21"/>
              </w:rPr>
            </w:pPr>
            <w:r w:rsidRPr="007A3098">
              <w:rPr>
                <w:rFonts w:ascii="Arial" w:hAnsi="Arial" w:cs="Arial"/>
                <w:sz w:val="21"/>
                <w:szCs w:val="21"/>
              </w:rPr>
              <w:t>90%</w:t>
            </w:r>
          </w:p>
        </w:tc>
        <w:tc>
          <w:tcPr>
            <w:tcW w:w="5529" w:type="dxa"/>
            <w:vAlign w:val="center"/>
          </w:tcPr>
          <w:p w14:paraId="6D2BEDDC" w14:textId="6CBEF01A" w:rsidR="00AF6BAA" w:rsidRPr="00F80F60" w:rsidRDefault="00AF6BAA" w:rsidP="00AF6BAA">
            <w:pPr>
              <w:rPr>
                <w:rFonts w:ascii="Arial" w:hAnsi="Arial" w:cs="Arial"/>
                <w:highlight w:val="yellow"/>
              </w:rPr>
            </w:pPr>
          </w:p>
        </w:tc>
      </w:tr>
    </w:tbl>
    <w:p w14:paraId="3B9DFC65" w14:textId="77777777" w:rsidR="00F80F60" w:rsidRDefault="00F80F60" w:rsidP="0057059A">
      <w:pPr>
        <w:pStyle w:val="Heading1"/>
        <w:jc w:val="left"/>
        <w:rPr>
          <w:b/>
          <w:i w:val="0"/>
          <w:color w:val="3FAF8D"/>
          <w:sz w:val="56"/>
          <w:szCs w:val="56"/>
        </w:rPr>
      </w:pPr>
    </w:p>
    <w:p w14:paraId="10AB2804" w14:textId="77777777" w:rsidR="00F80F60" w:rsidRDefault="00F80F60" w:rsidP="00F80F60">
      <w:pPr>
        <w:rPr>
          <w:rFonts w:ascii="Arial" w:eastAsia="Times" w:hAnsi="Arial" w:cs="Times New Roman"/>
          <w:lang w:eastAsia="en-GB"/>
        </w:rPr>
      </w:pPr>
      <w:r>
        <w:br w:type="page"/>
      </w:r>
    </w:p>
    <w:p w14:paraId="3A1C1D06" w14:textId="36E8810A" w:rsidR="004909F0" w:rsidRPr="0057059A" w:rsidRDefault="004909F0" w:rsidP="0057059A">
      <w:pPr>
        <w:pStyle w:val="Heading1"/>
        <w:jc w:val="left"/>
        <w:rPr>
          <w:b/>
          <w:i w:val="0"/>
          <w:color w:val="3FAF8D"/>
          <w:sz w:val="56"/>
          <w:szCs w:val="56"/>
        </w:rPr>
      </w:pPr>
      <w:r w:rsidRPr="0057059A">
        <w:rPr>
          <w:b/>
          <w:i w:val="0"/>
          <w:color w:val="3FAF8D"/>
          <w:sz w:val="56"/>
          <w:szCs w:val="56"/>
        </w:rPr>
        <w:lastRenderedPageBreak/>
        <w:t xml:space="preserve">A cleaner, greener Allerdale </w:t>
      </w:r>
    </w:p>
    <w:p w14:paraId="63925408" w14:textId="77777777" w:rsidR="004909F0" w:rsidRPr="00551D25" w:rsidRDefault="004909F0" w:rsidP="004909F0">
      <w:pPr>
        <w:tabs>
          <w:tab w:val="left" w:pos="1134"/>
        </w:tabs>
        <w:spacing w:before="120"/>
        <w:rPr>
          <w:rFonts w:ascii="Arial" w:hAnsi="Arial" w:cs="Arial"/>
          <w:bCs/>
          <w:sz w:val="24"/>
          <w:szCs w:val="26"/>
        </w:rPr>
      </w:pPr>
      <w:r w:rsidRPr="003A3380">
        <w:rPr>
          <w:rFonts w:ascii="Arial" w:hAnsi="Arial" w:cs="Arial"/>
          <w:b/>
          <w:bCs/>
          <w:sz w:val="28"/>
          <w:szCs w:val="20"/>
        </w:rPr>
        <w:t xml:space="preserve">Our objectives: </w:t>
      </w:r>
      <w:r w:rsidRPr="00551D25">
        <w:rPr>
          <w:rFonts w:ascii="Arial" w:hAnsi="Arial" w:cs="Arial"/>
          <w:bCs/>
          <w:sz w:val="24"/>
          <w:szCs w:val="26"/>
        </w:rPr>
        <w:t xml:space="preserve">Make sure our neighbourhoods are clean and tidy  </w:t>
      </w:r>
      <w:r w:rsidRPr="00551D25">
        <w:rPr>
          <w:rFonts w:ascii="Symbol" w:eastAsia="Symbol" w:hAnsi="Symbol" w:cs="Symbol"/>
          <w:bCs/>
          <w:sz w:val="24"/>
          <w:szCs w:val="26"/>
        </w:rPr>
        <w:t></w:t>
      </w:r>
      <w:r w:rsidRPr="00551D25">
        <w:rPr>
          <w:rFonts w:ascii="Arial" w:hAnsi="Arial" w:cs="Arial"/>
          <w:bCs/>
          <w:sz w:val="24"/>
          <w:szCs w:val="26"/>
        </w:rPr>
        <w:t xml:space="preserve">  Reduce waste and increase recycling  </w:t>
      </w:r>
      <w:r w:rsidRPr="00551D25">
        <w:rPr>
          <w:rFonts w:ascii="Symbol" w:eastAsia="Symbol" w:hAnsi="Symbol" w:cs="Symbol"/>
          <w:bCs/>
          <w:sz w:val="24"/>
          <w:szCs w:val="26"/>
        </w:rPr>
        <w:t></w:t>
      </w:r>
      <w:r w:rsidRPr="00551D25">
        <w:rPr>
          <w:rFonts w:ascii="Arial" w:hAnsi="Arial" w:cs="Arial"/>
          <w:bCs/>
          <w:sz w:val="24"/>
          <w:szCs w:val="26"/>
        </w:rPr>
        <w:t xml:space="preserve">  Improve and protect our open spaces and green infrastructure  </w:t>
      </w:r>
      <w:r w:rsidRPr="00551D25">
        <w:rPr>
          <w:rFonts w:ascii="Symbol" w:eastAsia="Symbol" w:hAnsi="Symbol" w:cs="Symbol"/>
          <w:bCs/>
          <w:sz w:val="24"/>
          <w:szCs w:val="26"/>
        </w:rPr>
        <w:t></w:t>
      </w:r>
      <w:r w:rsidRPr="00551D25">
        <w:rPr>
          <w:rFonts w:ascii="Arial" w:hAnsi="Arial" w:cs="Arial"/>
          <w:bCs/>
          <w:sz w:val="24"/>
          <w:szCs w:val="26"/>
        </w:rPr>
        <w:t xml:space="preserve">  Ensure environmental sustainability is at the heart of our policies  </w:t>
      </w:r>
      <w:r w:rsidRPr="00551D25">
        <w:rPr>
          <w:rFonts w:ascii="Symbol" w:eastAsia="Symbol" w:hAnsi="Symbol" w:cs="Symbol"/>
          <w:bCs/>
          <w:sz w:val="24"/>
          <w:szCs w:val="26"/>
        </w:rPr>
        <w:t></w:t>
      </w:r>
      <w:r w:rsidRPr="00551D25">
        <w:rPr>
          <w:rFonts w:ascii="Arial" w:hAnsi="Arial" w:cs="Arial"/>
          <w:bCs/>
          <w:sz w:val="24"/>
          <w:szCs w:val="26"/>
        </w:rPr>
        <w:t xml:space="preserve">  Use our assets to encourage green technology</w:t>
      </w:r>
    </w:p>
    <w:tbl>
      <w:tblPr>
        <w:tblStyle w:val="TableGrid"/>
        <w:tblW w:w="15409" w:type="dxa"/>
        <w:tblLayout w:type="fixed"/>
        <w:tblLook w:val="04A0" w:firstRow="1" w:lastRow="0" w:firstColumn="1" w:lastColumn="0" w:noHBand="0" w:noVBand="1"/>
      </w:tblPr>
      <w:tblGrid>
        <w:gridCol w:w="4390"/>
        <w:gridCol w:w="1403"/>
        <w:gridCol w:w="1525"/>
        <w:gridCol w:w="864"/>
        <w:gridCol w:w="885"/>
        <w:gridCol w:w="6342"/>
      </w:tblGrid>
      <w:tr w:rsidR="009C3901" w:rsidRPr="00BF4D99" w14:paraId="33DDC23F" w14:textId="77777777" w:rsidTr="009C3901">
        <w:trPr>
          <w:tblHeader/>
        </w:trPr>
        <w:tc>
          <w:tcPr>
            <w:tcW w:w="4390" w:type="dxa"/>
            <w:shd w:val="clear" w:color="auto" w:fill="3FAF8D"/>
          </w:tcPr>
          <w:p w14:paraId="2E00F44A" w14:textId="77777777" w:rsidR="009C3901" w:rsidRPr="004909F0" w:rsidRDefault="009C3901" w:rsidP="004909F0">
            <w:pPr>
              <w:rPr>
                <w:rFonts w:ascii="Arial" w:hAnsi="Arial" w:cs="Arial"/>
                <w:b/>
                <w:color w:val="FFFFFF" w:themeColor="background1"/>
              </w:rPr>
            </w:pPr>
            <w:r w:rsidRPr="004909F0">
              <w:rPr>
                <w:rFonts w:ascii="Arial" w:hAnsi="Arial" w:cs="Arial"/>
                <w:b/>
                <w:color w:val="FFFFFF" w:themeColor="background1"/>
              </w:rPr>
              <w:t>Key projects/activities</w:t>
            </w:r>
          </w:p>
        </w:tc>
        <w:tc>
          <w:tcPr>
            <w:tcW w:w="1403" w:type="dxa"/>
            <w:shd w:val="clear" w:color="auto" w:fill="3FAF8D"/>
          </w:tcPr>
          <w:p w14:paraId="75A87EEA" w14:textId="77777777" w:rsidR="009C3901" w:rsidRPr="004909F0" w:rsidRDefault="009C3901" w:rsidP="004909F0">
            <w:pPr>
              <w:rPr>
                <w:rFonts w:ascii="Arial" w:hAnsi="Arial" w:cs="Arial"/>
                <w:b/>
                <w:color w:val="FFFFFF" w:themeColor="background1"/>
              </w:rPr>
            </w:pPr>
            <w:r w:rsidRPr="004909F0">
              <w:rPr>
                <w:rFonts w:ascii="Arial" w:hAnsi="Arial" w:cs="Arial"/>
                <w:b/>
                <w:color w:val="FFFFFF" w:themeColor="background1"/>
              </w:rPr>
              <w:t>Timescales</w:t>
            </w:r>
          </w:p>
        </w:tc>
        <w:tc>
          <w:tcPr>
            <w:tcW w:w="1525" w:type="dxa"/>
            <w:shd w:val="clear" w:color="auto" w:fill="3FAF8D"/>
          </w:tcPr>
          <w:p w14:paraId="5C19D483" w14:textId="77777777" w:rsidR="009C3901" w:rsidRPr="004909F0" w:rsidRDefault="009C3901" w:rsidP="004909F0">
            <w:pPr>
              <w:rPr>
                <w:rFonts w:ascii="Arial" w:hAnsi="Arial" w:cs="Arial"/>
                <w:b/>
                <w:color w:val="FFFFFF" w:themeColor="background1"/>
              </w:rPr>
            </w:pPr>
            <w:r w:rsidRPr="004909F0">
              <w:rPr>
                <w:rFonts w:ascii="Arial" w:hAnsi="Arial" w:cs="Arial"/>
                <w:b/>
                <w:color w:val="FFFFFF" w:themeColor="background1"/>
              </w:rPr>
              <w:t>Responsible Head of Service</w:t>
            </w:r>
          </w:p>
        </w:tc>
        <w:tc>
          <w:tcPr>
            <w:tcW w:w="864" w:type="dxa"/>
            <w:shd w:val="clear" w:color="auto" w:fill="3FAF8D"/>
          </w:tcPr>
          <w:p w14:paraId="65FA8905" w14:textId="182A0E3C" w:rsidR="009C3901" w:rsidRPr="004909F0" w:rsidRDefault="009C3901" w:rsidP="004909F0">
            <w:pPr>
              <w:rPr>
                <w:rFonts w:ascii="Arial" w:hAnsi="Arial" w:cs="Arial"/>
                <w:b/>
                <w:color w:val="FFFFFF" w:themeColor="background1"/>
              </w:rPr>
            </w:pPr>
            <w:r>
              <w:rPr>
                <w:rFonts w:ascii="Arial" w:hAnsi="Arial" w:cs="Arial"/>
                <w:b/>
                <w:color w:val="FFFFFF" w:themeColor="background1"/>
              </w:rPr>
              <w:t>Q1</w:t>
            </w:r>
            <w:r w:rsidRPr="004909F0">
              <w:rPr>
                <w:rFonts w:ascii="Arial" w:hAnsi="Arial" w:cs="Arial"/>
                <w:b/>
                <w:color w:val="FFFFFF" w:themeColor="background1"/>
              </w:rPr>
              <w:t xml:space="preserve"> RAG status</w:t>
            </w:r>
            <w:r w:rsidRPr="004909F0">
              <w:rPr>
                <w:rFonts w:ascii="Arial" w:hAnsi="Arial" w:cs="Arial"/>
                <w:b/>
                <w:color w:val="FFFFFF" w:themeColor="background1"/>
              </w:rPr>
              <w:tab/>
            </w:r>
          </w:p>
        </w:tc>
        <w:tc>
          <w:tcPr>
            <w:tcW w:w="885" w:type="dxa"/>
            <w:tcBorders>
              <w:bottom w:val="single" w:sz="4" w:space="0" w:color="auto"/>
            </w:tcBorders>
            <w:shd w:val="clear" w:color="auto" w:fill="3FAF8D"/>
          </w:tcPr>
          <w:p w14:paraId="622CBB36" w14:textId="63F4C312" w:rsidR="009C3901" w:rsidRDefault="009C3901" w:rsidP="009C3901">
            <w:pPr>
              <w:rPr>
                <w:rFonts w:ascii="Arial" w:hAnsi="Arial" w:cs="Arial"/>
                <w:b/>
                <w:color w:val="FFFFFF" w:themeColor="background1"/>
              </w:rPr>
            </w:pPr>
            <w:r>
              <w:rPr>
                <w:rFonts w:ascii="Arial" w:hAnsi="Arial" w:cs="Arial"/>
                <w:b/>
                <w:color w:val="FFFFFF" w:themeColor="background1"/>
              </w:rPr>
              <w:t>Q2</w:t>
            </w:r>
            <w:r w:rsidRPr="004909F0">
              <w:rPr>
                <w:rFonts w:ascii="Arial" w:hAnsi="Arial" w:cs="Arial"/>
                <w:b/>
                <w:color w:val="FFFFFF" w:themeColor="background1"/>
              </w:rPr>
              <w:t xml:space="preserve"> RAG status</w:t>
            </w:r>
          </w:p>
        </w:tc>
        <w:tc>
          <w:tcPr>
            <w:tcW w:w="6342" w:type="dxa"/>
            <w:tcBorders>
              <w:bottom w:val="single" w:sz="4" w:space="0" w:color="auto"/>
            </w:tcBorders>
            <w:shd w:val="clear" w:color="auto" w:fill="3FAF8D"/>
          </w:tcPr>
          <w:p w14:paraId="57676014" w14:textId="10E6A2E7" w:rsidR="009C3901" w:rsidRPr="004909F0" w:rsidRDefault="00610C11" w:rsidP="004909F0">
            <w:pPr>
              <w:rPr>
                <w:rFonts w:ascii="Arial" w:hAnsi="Arial" w:cs="Arial"/>
                <w:b/>
                <w:color w:val="FFFFFF" w:themeColor="background1"/>
              </w:rPr>
            </w:pPr>
            <w:r>
              <w:rPr>
                <w:rFonts w:ascii="Arial" w:hAnsi="Arial" w:cs="Arial"/>
                <w:b/>
                <w:color w:val="FFFFFF" w:themeColor="background1"/>
              </w:rPr>
              <w:t>C</w:t>
            </w:r>
            <w:r w:rsidR="009C3901" w:rsidRPr="004909F0">
              <w:rPr>
                <w:rFonts w:ascii="Arial" w:hAnsi="Arial" w:cs="Arial"/>
                <w:b/>
                <w:color w:val="FFFFFF" w:themeColor="background1"/>
              </w:rPr>
              <w:t>ommentary (and management action where red/amber)</w:t>
            </w:r>
          </w:p>
        </w:tc>
      </w:tr>
      <w:tr w:rsidR="006C55CC" w14:paraId="165A5262" w14:textId="77777777" w:rsidTr="006C55CC">
        <w:trPr>
          <w:trHeight w:val="1205"/>
        </w:trPr>
        <w:tc>
          <w:tcPr>
            <w:tcW w:w="4390" w:type="dxa"/>
            <w:vAlign w:val="center"/>
          </w:tcPr>
          <w:p w14:paraId="5D71C2B4" w14:textId="62F3778A" w:rsidR="006C55CC" w:rsidRPr="00733F7B" w:rsidRDefault="006C55CC" w:rsidP="006C55CC">
            <w:pPr>
              <w:rPr>
                <w:rFonts w:ascii="Arial" w:eastAsia="Times New Roman" w:hAnsi="Arial" w:cs="Arial"/>
                <w:color w:val="000000"/>
                <w:lang w:eastAsia="en-GB"/>
              </w:rPr>
            </w:pPr>
            <w:r w:rsidRPr="00BB5C08">
              <w:rPr>
                <w:rFonts w:ascii="Arial" w:hAnsi="Arial" w:cs="Arial"/>
                <w:b/>
              </w:rPr>
              <w:t>Tackle and reduce fly tipping</w:t>
            </w:r>
            <w:r w:rsidRPr="00DF1E56">
              <w:rPr>
                <w:rFonts w:ascii="Arial" w:hAnsi="Arial" w:cs="Arial"/>
              </w:rPr>
              <w:t xml:space="preserve"> through enforcement action and educational activity</w:t>
            </w:r>
            <w:r>
              <w:rPr>
                <w:rFonts w:ascii="Arial" w:hAnsi="Arial" w:cs="Arial"/>
              </w:rPr>
              <w:t xml:space="preserve"> focusing resources </w:t>
            </w:r>
            <w:r w:rsidRPr="00015B98">
              <w:rPr>
                <w:rFonts w:ascii="Arial" w:hAnsi="Arial" w:cs="Arial"/>
              </w:rPr>
              <w:t>on known hotspots.</w:t>
            </w:r>
          </w:p>
        </w:tc>
        <w:tc>
          <w:tcPr>
            <w:tcW w:w="1403" w:type="dxa"/>
            <w:vAlign w:val="center"/>
          </w:tcPr>
          <w:p w14:paraId="704748BB" w14:textId="313DE152" w:rsidR="006C55CC" w:rsidRPr="00733F7B" w:rsidRDefault="006C55CC" w:rsidP="006C55CC">
            <w:pPr>
              <w:rPr>
                <w:rFonts w:ascii="Arial" w:hAnsi="Arial" w:cs="Arial"/>
              </w:rPr>
            </w:pPr>
            <w:r>
              <w:rPr>
                <w:rFonts w:ascii="Arial" w:hAnsi="Arial" w:cs="Arial"/>
              </w:rPr>
              <w:t>from March 2020</w:t>
            </w:r>
          </w:p>
        </w:tc>
        <w:tc>
          <w:tcPr>
            <w:tcW w:w="1525" w:type="dxa"/>
            <w:vAlign w:val="center"/>
          </w:tcPr>
          <w:p w14:paraId="79BE29DD" w14:textId="2DF9C7C1" w:rsidR="006C55CC" w:rsidRDefault="006C55CC" w:rsidP="006C55CC">
            <w:pPr>
              <w:rPr>
                <w:rFonts w:ascii="Arial" w:hAnsi="Arial" w:cs="Arial"/>
              </w:rPr>
            </w:pPr>
            <w:r>
              <w:rPr>
                <w:rFonts w:ascii="Arial" w:hAnsi="Arial" w:cs="Arial"/>
              </w:rPr>
              <w:t>Governance and Regulatory Services</w:t>
            </w:r>
          </w:p>
        </w:tc>
        <w:tc>
          <w:tcPr>
            <w:tcW w:w="864" w:type="dxa"/>
            <w:tcBorders>
              <w:top w:val="single" w:sz="4" w:space="0" w:color="auto"/>
              <w:left w:val="single" w:sz="4" w:space="0" w:color="auto"/>
              <w:bottom w:val="single" w:sz="4" w:space="0" w:color="auto"/>
              <w:right w:val="single" w:sz="4" w:space="0" w:color="auto"/>
            </w:tcBorders>
            <w:shd w:val="clear" w:color="000000" w:fill="92D050"/>
            <w:vAlign w:val="center"/>
          </w:tcPr>
          <w:p w14:paraId="0F58EDE9" w14:textId="0138CE65" w:rsidR="006C55CC" w:rsidRDefault="006C55CC" w:rsidP="006C55CC">
            <w:pPr>
              <w:jc w:val="center"/>
              <w:rPr>
                <w:rFonts w:ascii="Arial" w:hAnsi="Arial" w:cs="Arial"/>
              </w:rPr>
            </w:pPr>
            <w:r>
              <w:rPr>
                <w:rFonts w:ascii="Arial" w:hAnsi="Arial" w:cs="Arial"/>
              </w:rPr>
              <w:t>G</w:t>
            </w:r>
          </w:p>
        </w:tc>
        <w:tc>
          <w:tcPr>
            <w:tcW w:w="885" w:type="dxa"/>
            <w:tcBorders>
              <w:top w:val="single" w:sz="4" w:space="0" w:color="auto"/>
              <w:left w:val="single" w:sz="4" w:space="0" w:color="auto"/>
              <w:bottom w:val="single" w:sz="4" w:space="0" w:color="auto"/>
              <w:right w:val="single" w:sz="4" w:space="0" w:color="auto"/>
            </w:tcBorders>
            <w:shd w:val="clear" w:color="000000" w:fill="92D050"/>
            <w:vAlign w:val="center"/>
          </w:tcPr>
          <w:p w14:paraId="369A4C6E" w14:textId="77D3EFC4" w:rsidR="006C55CC" w:rsidRDefault="006C55CC" w:rsidP="006C55CC">
            <w:pPr>
              <w:jc w:val="center"/>
              <w:rPr>
                <w:rFonts w:ascii="Arial" w:hAnsi="Arial" w:cs="Arial"/>
              </w:rPr>
            </w:pPr>
            <w:r>
              <w:rPr>
                <w:rFonts w:ascii="Arial" w:hAnsi="Arial" w:cs="Arial"/>
              </w:rPr>
              <w:t>G</w:t>
            </w:r>
          </w:p>
        </w:tc>
        <w:tc>
          <w:tcPr>
            <w:tcW w:w="6342" w:type="dxa"/>
            <w:tcBorders>
              <w:top w:val="single" w:sz="4" w:space="0" w:color="auto"/>
              <w:left w:val="nil"/>
              <w:bottom w:val="single" w:sz="4" w:space="0" w:color="auto"/>
              <w:right w:val="single" w:sz="4" w:space="0" w:color="auto"/>
            </w:tcBorders>
            <w:shd w:val="clear" w:color="auto" w:fill="auto"/>
            <w:vAlign w:val="center"/>
          </w:tcPr>
          <w:p w14:paraId="61ABC967" w14:textId="1209579E" w:rsidR="006C55CC" w:rsidRDefault="006C55CC" w:rsidP="006C55CC">
            <w:pPr>
              <w:rPr>
                <w:rFonts w:ascii="Arial" w:hAnsi="Arial" w:cs="Arial"/>
              </w:rPr>
            </w:pPr>
            <w:r>
              <w:rPr>
                <w:rFonts w:ascii="Arial" w:hAnsi="Arial" w:cs="Arial"/>
                <w:color w:val="000000"/>
              </w:rPr>
              <w:t>Joint patrols with local PCSOs in place for education and enforcement activity. Regular press releases in relation to FPNs issued and as a directive control to reduce this activity.</w:t>
            </w:r>
          </w:p>
        </w:tc>
      </w:tr>
      <w:tr w:rsidR="006C55CC" w14:paraId="5A3FFF13" w14:textId="77777777" w:rsidTr="007F4334">
        <w:trPr>
          <w:trHeight w:val="1078"/>
        </w:trPr>
        <w:tc>
          <w:tcPr>
            <w:tcW w:w="4390" w:type="dxa"/>
            <w:vAlign w:val="center"/>
          </w:tcPr>
          <w:p w14:paraId="2217248A" w14:textId="6270FD18" w:rsidR="006C55CC" w:rsidRPr="00215E6B" w:rsidRDefault="006C55CC" w:rsidP="006C55CC">
            <w:pPr>
              <w:rPr>
                <w:rFonts w:ascii="Arial" w:eastAsia="Times New Roman" w:hAnsi="Arial" w:cs="Arial"/>
                <w:color w:val="000000"/>
                <w:highlight w:val="lightGray"/>
                <w:lang w:eastAsia="en-GB"/>
              </w:rPr>
            </w:pPr>
            <w:r w:rsidRPr="004861C8">
              <w:rPr>
                <w:rFonts w:ascii="Arial" w:hAnsi="Arial" w:cs="Arial"/>
                <w:b/>
              </w:rPr>
              <w:t>Carry out recycling initiatives</w:t>
            </w:r>
            <w:r w:rsidRPr="006D45EE">
              <w:rPr>
                <w:rFonts w:ascii="Arial" w:hAnsi="Arial" w:cs="Arial"/>
              </w:rPr>
              <w:t xml:space="preserve"> </w:t>
            </w:r>
            <w:r w:rsidRPr="004861C8">
              <w:rPr>
                <w:rFonts w:ascii="Arial" w:hAnsi="Arial" w:cs="Arial"/>
                <w:b/>
              </w:rPr>
              <w:t>and educational campaigns to reduce waste</w:t>
            </w:r>
            <w:r w:rsidRPr="006D45EE">
              <w:rPr>
                <w:rFonts w:ascii="Arial" w:hAnsi="Arial" w:cs="Arial"/>
              </w:rPr>
              <w:t xml:space="preserve"> </w:t>
            </w:r>
          </w:p>
        </w:tc>
        <w:tc>
          <w:tcPr>
            <w:tcW w:w="1403" w:type="dxa"/>
            <w:vAlign w:val="center"/>
          </w:tcPr>
          <w:p w14:paraId="6CE178AE" w14:textId="23AA7496" w:rsidR="006C55CC" w:rsidRPr="00971DF5" w:rsidRDefault="006C55CC" w:rsidP="006C55CC">
            <w:pPr>
              <w:rPr>
                <w:rFonts w:ascii="Arial" w:hAnsi="Arial" w:cs="Arial"/>
              </w:rPr>
            </w:pPr>
            <w:r w:rsidRPr="006D45EE">
              <w:rPr>
                <w:rFonts w:ascii="Arial" w:hAnsi="Arial" w:cs="Arial"/>
              </w:rPr>
              <w:t>by March 2021</w:t>
            </w:r>
          </w:p>
        </w:tc>
        <w:tc>
          <w:tcPr>
            <w:tcW w:w="1525" w:type="dxa"/>
            <w:vAlign w:val="center"/>
          </w:tcPr>
          <w:p w14:paraId="20DF8E0B" w14:textId="5D47636D" w:rsidR="006C55CC" w:rsidRPr="00971DF5" w:rsidRDefault="006C55CC" w:rsidP="006C55CC">
            <w:pPr>
              <w:rPr>
                <w:rFonts w:ascii="Arial" w:hAnsi="Arial" w:cs="Arial"/>
              </w:rPr>
            </w:pPr>
            <w:r w:rsidRPr="006D45EE">
              <w:rPr>
                <w:rFonts w:ascii="Arial" w:hAnsi="Arial" w:cs="Arial"/>
              </w:rPr>
              <w:t xml:space="preserve">Finance and Property </w:t>
            </w:r>
          </w:p>
        </w:tc>
        <w:tc>
          <w:tcPr>
            <w:tcW w:w="864" w:type="dxa"/>
            <w:tcBorders>
              <w:top w:val="single" w:sz="4" w:space="0" w:color="auto"/>
              <w:left w:val="single" w:sz="4" w:space="0" w:color="auto"/>
              <w:bottom w:val="single" w:sz="4" w:space="0" w:color="auto"/>
              <w:right w:val="single" w:sz="4" w:space="0" w:color="auto"/>
            </w:tcBorders>
            <w:shd w:val="clear" w:color="auto" w:fill="92D050"/>
            <w:vAlign w:val="center"/>
          </w:tcPr>
          <w:p w14:paraId="3B5905F3" w14:textId="6D153A79" w:rsidR="006C55CC" w:rsidRDefault="006C55CC" w:rsidP="006C55CC">
            <w:pPr>
              <w:jc w:val="center"/>
              <w:rPr>
                <w:rFonts w:ascii="Arial" w:hAnsi="Arial" w:cs="Arial"/>
              </w:rPr>
            </w:pPr>
            <w:r>
              <w:rPr>
                <w:rFonts w:ascii="Arial" w:hAnsi="Arial" w:cs="Arial"/>
              </w:rPr>
              <w:t>G</w:t>
            </w:r>
          </w:p>
        </w:tc>
        <w:tc>
          <w:tcPr>
            <w:tcW w:w="885" w:type="dxa"/>
            <w:tcBorders>
              <w:top w:val="single" w:sz="4" w:space="0" w:color="auto"/>
              <w:left w:val="single" w:sz="4" w:space="0" w:color="auto"/>
              <w:bottom w:val="single" w:sz="4" w:space="0" w:color="auto"/>
              <w:right w:val="single" w:sz="4" w:space="0" w:color="auto"/>
            </w:tcBorders>
            <w:shd w:val="clear" w:color="000000" w:fill="92D050"/>
            <w:vAlign w:val="center"/>
          </w:tcPr>
          <w:p w14:paraId="5F0D6651" w14:textId="1E021929" w:rsidR="006C55CC" w:rsidRDefault="006C55CC" w:rsidP="006C55CC">
            <w:pPr>
              <w:jc w:val="center"/>
              <w:rPr>
                <w:rFonts w:ascii="Arial" w:hAnsi="Arial" w:cs="Arial"/>
              </w:rPr>
            </w:pPr>
            <w:r>
              <w:rPr>
                <w:rFonts w:ascii="Arial" w:hAnsi="Arial" w:cs="Arial"/>
              </w:rPr>
              <w:t>G</w:t>
            </w:r>
          </w:p>
        </w:tc>
        <w:tc>
          <w:tcPr>
            <w:tcW w:w="6342" w:type="dxa"/>
            <w:tcBorders>
              <w:top w:val="nil"/>
              <w:left w:val="nil"/>
              <w:bottom w:val="single" w:sz="4" w:space="0" w:color="auto"/>
              <w:right w:val="single" w:sz="4" w:space="0" w:color="auto"/>
            </w:tcBorders>
            <w:shd w:val="clear" w:color="auto" w:fill="auto"/>
            <w:vAlign w:val="center"/>
          </w:tcPr>
          <w:p w14:paraId="61461FD4" w14:textId="7FC3E361" w:rsidR="006C55CC" w:rsidRDefault="006C55CC" w:rsidP="00581938">
            <w:pPr>
              <w:spacing w:after="120"/>
              <w:rPr>
                <w:rFonts w:ascii="Arial" w:hAnsi="Arial" w:cs="Arial"/>
              </w:rPr>
            </w:pPr>
            <w:r>
              <w:rPr>
                <w:rFonts w:ascii="Arial" w:hAnsi="Arial" w:cs="Arial"/>
                <w:color w:val="000000"/>
              </w:rPr>
              <w:t>The latter stages of Q2 ha</w:t>
            </w:r>
            <w:r w:rsidR="00581938">
              <w:rPr>
                <w:rFonts w:ascii="Arial" w:hAnsi="Arial" w:cs="Arial"/>
                <w:color w:val="000000"/>
              </w:rPr>
              <w:t>ve</w:t>
            </w:r>
            <w:r>
              <w:rPr>
                <w:rFonts w:ascii="Arial" w:hAnsi="Arial" w:cs="Arial"/>
                <w:color w:val="000000"/>
              </w:rPr>
              <w:t xml:space="preserve"> seen some positive work begin with a reduced set of restrictions at HWRC's and a new initiative led by the climate change group and the media team. During this period CCC began to allow single axle trailers access to the HWRC sites and the permit system was re-instated. Subject to criteria being met the climate change group have facilitated a potential trial for Tetra Pak bring banks to be installed at Otley Road Keswick and the media team are reviewing the ABC recycling web pages.</w:t>
            </w:r>
          </w:p>
        </w:tc>
      </w:tr>
      <w:tr w:rsidR="006C55CC" w14:paraId="3FF8A2BE" w14:textId="77777777" w:rsidTr="007F4334">
        <w:trPr>
          <w:trHeight w:val="951"/>
        </w:trPr>
        <w:tc>
          <w:tcPr>
            <w:tcW w:w="4390" w:type="dxa"/>
            <w:vAlign w:val="center"/>
          </w:tcPr>
          <w:p w14:paraId="64296DCB" w14:textId="16BE2AA3" w:rsidR="006C55CC" w:rsidRPr="00E24403" w:rsidRDefault="006C55CC" w:rsidP="006C55CC">
            <w:pPr>
              <w:rPr>
                <w:rFonts w:ascii="Arial" w:eastAsia="Times New Roman" w:hAnsi="Arial" w:cs="Arial"/>
                <w:color w:val="000000"/>
                <w:lang w:eastAsia="en-GB"/>
              </w:rPr>
            </w:pPr>
            <w:r>
              <w:rPr>
                <w:rFonts w:ascii="Arial" w:hAnsi="Arial" w:cs="Arial"/>
                <w:b/>
              </w:rPr>
              <w:t>Progress</w:t>
            </w:r>
            <w:r w:rsidRPr="00BB5C08">
              <w:rPr>
                <w:rFonts w:ascii="Arial" w:hAnsi="Arial" w:cs="Arial"/>
                <w:b/>
              </w:rPr>
              <w:t xml:space="preserve"> strategic green infrastructure and biodiversity projects</w:t>
            </w:r>
            <w:r w:rsidRPr="00DF1E56">
              <w:rPr>
                <w:rFonts w:ascii="Arial" w:hAnsi="Arial" w:cs="Arial"/>
              </w:rPr>
              <w:t xml:space="preserve"> </w:t>
            </w:r>
            <w:r w:rsidRPr="00141E4C">
              <w:rPr>
                <w:rFonts w:ascii="Arial" w:hAnsi="Arial" w:cs="Arial"/>
                <w:b/>
              </w:rPr>
              <w:t>and encourage environmental volunteering</w:t>
            </w:r>
            <w:r w:rsidRPr="00DF1E56">
              <w:rPr>
                <w:rFonts w:ascii="Arial" w:hAnsi="Arial" w:cs="Arial"/>
              </w:rPr>
              <w:t xml:space="preserve">: Water Environment Grant projects at Siddick Pond; </w:t>
            </w:r>
            <w:r w:rsidRPr="00903E8D">
              <w:rPr>
                <w:rFonts w:ascii="Arial" w:hAnsi="Arial" w:cs="Arial"/>
              </w:rPr>
              <w:t>improvements to</w:t>
            </w:r>
            <w:r w:rsidRPr="0092608C">
              <w:rPr>
                <w:rFonts w:ascii="Arial" w:hAnsi="Arial" w:cs="Arial"/>
              </w:rPr>
              <w:t xml:space="preserve"> land </w:t>
            </w:r>
            <w:r>
              <w:rPr>
                <w:rFonts w:ascii="Arial" w:hAnsi="Arial" w:cs="Arial"/>
              </w:rPr>
              <w:t xml:space="preserve">at Northside </w:t>
            </w:r>
            <w:r w:rsidRPr="0092608C">
              <w:rPr>
                <w:rFonts w:ascii="Arial" w:hAnsi="Arial" w:cs="Arial"/>
              </w:rPr>
              <w:t>ne</w:t>
            </w:r>
            <w:r>
              <w:rPr>
                <w:rFonts w:ascii="Arial" w:hAnsi="Arial" w:cs="Arial"/>
              </w:rPr>
              <w:t>ar</w:t>
            </w:r>
            <w:r w:rsidRPr="0092608C">
              <w:rPr>
                <w:rFonts w:ascii="Arial" w:hAnsi="Arial" w:cs="Arial"/>
              </w:rPr>
              <w:t xml:space="preserve"> Siddick Pond</w:t>
            </w:r>
            <w:r w:rsidRPr="00DF1E56">
              <w:rPr>
                <w:rFonts w:ascii="Arial" w:hAnsi="Arial" w:cs="Arial"/>
              </w:rPr>
              <w:t>; Workington Nature Partnership projects; development of 'Get Cumbria Buzzing' sites</w:t>
            </w:r>
            <w:r>
              <w:rPr>
                <w:rFonts w:ascii="Arial" w:hAnsi="Arial" w:cs="Arial"/>
              </w:rPr>
              <w:t xml:space="preserve"> (12 sites)</w:t>
            </w:r>
          </w:p>
        </w:tc>
        <w:tc>
          <w:tcPr>
            <w:tcW w:w="1403" w:type="dxa"/>
            <w:vAlign w:val="center"/>
          </w:tcPr>
          <w:p w14:paraId="1876611F" w14:textId="77777777" w:rsidR="006C55CC" w:rsidRDefault="006C55CC" w:rsidP="006C55CC">
            <w:pPr>
              <w:rPr>
                <w:rFonts w:ascii="Arial" w:hAnsi="Arial" w:cs="Arial"/>
              </w:rPr>
            </w:pPr>
            <w:r>
              <w:rPr>
                <w:rFonts w:ascii="Arial" w:hAnsi="Arial" w:cs="Arial"/>
              </w:rPr>
              <w:t>Northside by 2021</w:t>
            </w:r>
          </w:p>
          <w:p w14:paraId="2465E22F" w14:textId="107894B1" w:rsidR="006C55CC" w:rsidRDefault="006C55CC" w:rsidP="006C55CC">
            <w:pPr>
              <w:rPr>
                <w:rFonts w:ascii="Arial" w:hAnsi="Arial" w:cs="Arial"/>
              </w:rPr>
            </w:pPr>
            <w:r>
              <w:rPr>
                <w:rFonts w:ascii="Arial" w:hAnsi="Arial" w:cs="Arial"/>
              </w:rPr>
              <w:t xml:space="preserve">Other projects by </w:t>
            </w:r>
            <w:r w:rsidRPr="00DF1E56">
              <w:rPr>
                <w:rFonts w:ascii="Arial" w:hAnsi="Arial" w:cs="Arial"/>
              </w:rPr>
              <w:t>2022</w:t>
            </w:r>
          </w:p>
        </w:tc>
        <w:tc>
          <w:tcPr>
            <w:tcW w:w="1525" w:type="dxa"/>
            <w:vAlign w:val="center"/>
          </w:tcPr>
          <w:p w14:paraId="73A2EBF4" w14:textId="7CED0724" w:rsidR="006C55CC" w:rsidRDefault="006C55CC" w:rsidP="006C55CC">
            <w:pPr>
              <w:rPr>
                <w:rFonts w:ascii="Arial" w:hAnsi="Arial" w:cs="Arial"/>
              </w:rPr>
            </w:pPr>
            <w:r>
              <w:rPr>
                <w:rFonts w:ascii="Arial" w:hAnsi="Arial" w:cs="Arial"/>
              </w:rPr>
              <w:t>Finance and Property</w:t>
            </w:r>
          </w:p>
        </w:tc>
        <w:tc>
          <w:tcPr>
            <w:tcW w:w="864" w:type="dxa"/>
            <w:tcBorders>
              <w:top w:val="single" w:sz="4" w:space="0" w:color="auto"/>
              <w:left w:val="single" w:sz="4" w:space="0" w:color="auto"/>
              <w:bottom w:val="single" w:sz="4" w:space="0" w:color="auto"/>
              <w:right w:val="single" w:sz="4" w:space="0" w:color="auto"/>
            </w:tcBorders>
            <w:shd w:val="clear" w:color="000000" w:fill="92D050"/>
            <w:vAlign w:val="center"/>
          </w:tcPr>
          <w:p w14:paraId="4C42E966" w14:textId="49DECD5F" w:rsidR="006C55CC" w:rsidRDefault="006C55CC" w:rsidP="006C55CC">
            <w:pPr>
              <w:jc w:val="center"/>
              <w:rPr>
                <w:rFonts w:ascii="Arial" w:hAnsi="Arial" w:cs="Arial"/>
              </w:rPr>
            </w:pPr>
            <w:r>
              <w:rPr>
                <w:rFonts w:ascii="Arial" w:hAnsi="Arial" w:cs="Arial"/>
              </w:rPr>
              <w:t>G</w:t>
            </w:r>
          </w:p>
        </w:tc>
        <w:tc>
          <w:tcPr>
            <w:tcW w:w="885" w:type="dxa"/>
            <w:tcBorders>
              <w:top w:val="single" w:sz="4" w:space="0" w:color="auto"/>
              <w:left w:val="single" w:sz="4" w:space="0" w:color="auto"/>
              <w:bottom w:val="single" w:sz="4" w:space="0" w:color="auto"/>
              <w:right w:val="single" w:sz="4" w:space="0" w:color="auto"/>
            </w:tcBorders>
            <w:shd w:val="clear" w:color="000000" w:fill="92D050"/>
            <w:vAlign w:val="center"/>
          </w:tcPr>
          <w:p w14:paraId="3896559B" w14:textId="7FED4961" w:rsidR="006C55CC" w:rsidRDefault="006C55CC" w:rsidP="006C55CC">
            <w:pPr>
              <w:jc w:val="center"/>
              <w:rPr>
                <w:rFonts w:ascii="Arial" w:hAnsi="Arial" w:cs="Arial"/>
              </w:rPr>
            </w:pPr>
            <w:r>
              <w:rPr>
                <w:rFonts w:ascii="Arial" w:hAnsi="Arial" w:cs="Arial"/>
              </w:rPr>
              <w:t>G</w:t>
            </w:r>
          </w:p>
        </w:tc>
        <w:tc>
          <w:tcPr>
            <w:tcW w:w="6342" w:type="dxa"/>
            <w:tcBorders>
              <w:top w:val="nil"/>
              <w:left w:val="nil"/>
              <w:bottom w:val="single" w:sz="4" w:space="0" w:color="auto"/>
              <w:right w:val="single" w:sz="4" w:space="0" w:color="auto"/>
            </w:tcBorders>
            <w:shd w:val="clear" w:color="auto" w:fill="auto"/>
            <w:vAlign w:val="center"/>
          </w:tcPr>
          <w:p w14:paraId="3E00CE57" w14:textId="628FA558" w:rsidR="006C55CC" w:rsidRDefault="006C55CC" w:rsidP="00006AD2">
            <w:pPr>
              <w:spacing w:after="120"/>
              <w:rPr>
                <w:rFonts w:ascii="Arial" w:hAnsi="Arial" w:cs="Arial"/>
              </w:rPr>
            </w:pPr>
            <w:r>
              <w:rPr>
                <w:rFonts w:ascii="Arial" w:hAnsi="Arial" w:cs="Arial"/>
              </w:rPr>
              <w:t>SIDDICK POND WATER ENVIRONMENT GRANT: Good progress is being made and several projects are well underway and in some cases nearing completion including reed</w:t>
            </w:r>
            <w:r w:rsidR="00581938">
              <w:rPr>
                <w:rFonts w:ascii="Arial" w:hAnsi="Arial" w:cs="Arial"/>
              </w:rPr>
              <w:t xml:space="preserve"> </w:t>
            </w:r>
            <w:r>
              <w:rPr>
                <w:rFonts w:ascii="Arial" w:hAnsi="Arial" w:cs="Arial"/>
              </w:rPr>
              <w:t>bed management, control of invasive species, water quality and biodiversity survey, and the design of a new wetland area. A planning application for the new wetland habitat are</w:t>
            </w:r>
            <w:r w:rsidR="00581938">
              <w:rPr>
                <w:rFonts w:ascii="Arial" w:hAnsi="Arial" w:cs="Arial"/>
              </w:rPr>
              <w:t>a</w:t>
            </w:r>
            <w:r>
              <w:rPr>
                <w:rFonts w:ascii="Arial" w:hAnsi="Arial" w:cs="Arial"/>
              </w:rPr>
              <w:t xml:space="preserve">, comprising a mosaic of scrapes, island and channels, will be submitted before Xmas. 2. NORTHSIDE NON-STATUTORY ALLOTMENTS /COMMUNITY PLOTS: A Change of Use planning application has been submitted for the northern section of the site, with a view to the land being cleared and reinstated as green space to integrate with </w:t>
            </w:r>
            <w:r>
              <w:rPr>
                <w:rFonts w:ascii="Arial" w:hAnsi="Arial" w:cs="Arial"/>
              </w:rPr>
              <w:lastRenderedPageBreak/>
              <w:t>Siddick Pond Nature Reserve</w:t>
            </w:r>
            <w:r w:rsidR="000121CB">
              <w:rPr>
                <w:rFonts w:ascii="Arial" w:hAnsi="Arial" w:cs="Arial"/>
              </w:rPr>
              <w:t>.</w:t>
            </w:r>
            <w:r>
              <w:rPr>
                <w:rFonts w:ascii="Arial" w:hAnsi="Arial" w:cs="Arial"/>
              </w:rPr>
              <w:t xml:space="preserve">  3. GET CUMBRIA BUZZING: Excellent progress continues to be made on our "Get Cumbria Buzzing" sites, and we have now undertaken work on eight of the twelve sites that we are responsible for delivering. This has included the creation of extensive new pollinator-friendly habitat at Shore Road, Derwent Howe, Oldside and Maryport Coastal Park, while existing meadows at Siddick Pond and Harrington Nature Reserves have been enhanced with additional </w:t>
            </w:r>
            <w:r w:rsidR="00581938">
              <w:rPr>
                <w:rFonts w:ascii="Arial" w:hAnsi="Arial" w:cs="Arial"/>
              </w:rPr>
              <w:t>wildflower</w:t>
            </w:r>
            <w:r>
              <w:rPr>
                <w:rFonts w:ascii="Arial" w:hAnsi="Arial" w:cs="Arial"/>
              </w:rPr>
              <w:t xml:space="preserve"> planting. The project continues to provide opportunities for volunteers and schools to participate.</w:t>
            </w:r>
          </w:p>
        </w:tc>
      </w:tr>
      <w:tr w:rsidR="006C55CC" w14:paraId="04745595" w14:textId="77777777" w:rsidTr="007F4334">
        <w:trPr>
          <w:trHeight w:val="934"/>
        </w:trPr>
        <w:tc>
          <w:tcPr>
            <w:tcW w:w="4390" w:type="dxa"/>
            <w:vAlign w:val="center"/>
          </w:tcPr>
          <w:p w14:paraId="40882346" w14:textId="2C37DCCD" w:rsidR="006C55CC" w:rsidRPr="00733F7B" w:rsidRDefault="006C55CC" w:rsidP="006C55CC">
            <w:pPr>
              <w:rPr>
                <w:rFonts w:ascii="Arial" w:eastAsia="Times New Roman" w:hAnsi="Arial" w:cs="Arial"/>
                <w:color w:val="000000"/>
                <w:lang w:eastAsia="en-GB"/>
              </w:rPr>
            </w:pPr>
            <w:r w:rsidRPr="2CC68390">
              <w:rPr>
                <w:rFonts w:ascii="Arial" w:hAnsi="Arial" w:cs="Arial"/>
                <w:b/>
                <w:bCs/>
              </w:rPr>
              <w:lastRenderedPageBreak/>
              <w:t>Develop and start delivery of a Climate Change Action Plan</w:t>
            </w:r>
          </w:p>
        </w:tc>
        <w:tc>
          <w:tcPr>
            <w:tcW w:w="1403" w:type="dxa"/>
            <w:vAlign w:val="center"/>
          </w:tcPr>
          <w:p w14:paraId="41BDFC83" w14:textId="761E6D86" w:rsidR="006C55CC" w:rsidRPr="00215E6B" w:rsidRDefault="006C55CC" w:rsidP="006C55CC">
            <w:pPr>
              <w:rPr>
                <w:rFonts w:ascii="Arial" w:hAnsi="Arial" w:cs="Arial"/>
                <w:highlight w:val="lightGray"/>
              </w:rPr>
            </w:pPr>
            <w:r w:rsidRPr="00241EFB">
              <w:rPr>
                <w:rFonts w:ascii="Arial" w:hAnsi="Arial" w:cs="Arial"/>
              </w:rPr>
              <w:t>Developed by Sept 2020</w:t>
            </w:r>
          </w:p>
        </w:tc>
        <w:tc>
          <w:tcPr>
            <w:tcW w:w="1525" w:type="dxa"/>
            <w:vAlign w:val="center"/>
          </w:tcPr>
          <w:p w14:paraId="308CFD64" w14:textId="085CB1B5" w:rsidR="006C55CC" w:rsidRPr="00215E6B" w:rsidRDefault="006C55CC" w:rsidP="006C55CC">
            <w:pPr>
              <w:rPr>
                <w:rFonts w:ascii="Arial" w:hAnsi="Arial" w:cs="Arial"/>
                <w:highlight w:val="lightGray"/>
              </w:rPr>
            </w:pPr>
            <w:r>
              <w:rPr>
                <w:rFonts w:ascii="Arial" w:hAnsi="Arial" w:cs="Arial"/>
              </w:rPr>
              <w:t>Strategy, Policy and Performance</w:t>
            </w:r>
          </w:p>
        </w:tc>
        <w:tc>
          <w:tcPr>
            <w:tcW w:w="864" w:type="dxa"/>
            <w:tcBorders>
              <w:top w:val="single" w:sz="4" w:space="0" w:color="auto"/>
              <w:left w:val="single" w:sz="4" w:space="0" w:color="auto"/>
              <w:bottom w:val="single" w:sz="4" w:space="0" w:color="auto"/>
              <w:right w:val="single" w:sz="4" w:space="0" w:color="auto"/>
            </w:tcBorders>
            <w:shd w:val="clear" w:color="000000" w:fill="92D050"/>
            <w:vAlign w:val="center"/>
          </w:tcPr>
          <w:p w14:paraId="2BE1A9F7" w14:textId="69A57F8E" w:rsidR="006C55CC" w:rsidRDefault="006C55CC" w:rsidP="006C55CC">
            <w:pPr>
              <w:jc w:val="center"/>
              <w:rPr>
                <w:rFonts w:ascii="Arial" w:hAnsi="Arial" w:cs="Arial"/>
              </w:rPr>
            </w:pPr>
            <w:r>
              <w:rPr>
                <w:rFonts w:ascii="Arial" w:hAnsi="Arial" w:cs="Arial"/>
              </w:rPr>
              <w:t>G</w:t>
            </w:r>
          </w:p>
        </w:tc>
        <w:tc>
          <w:tcPr>
            <w:tcW w:w="885" w:type="dxa"/>
            <w:tcBorders>
              <w:top w:val="single" w:sz="4" w:space="0" w:color="auto"/>
              <w:left w:val="single" w:sz="4" w:space="0" w:color="auto"/>
              <w:bottom w:val="single" w:sz="4" w:space="0" w:color="auto"/>
              <w:right w:val="single" w:sz="4" w:space="0" w:color="auto"/>
            </w:tcBorders>
            <w:shd w:val="clear" w:color="000000" w:fill="92D050"/>
            <w:vAlign w:val="center"/>
          </w:tcPr>
          <w:p w14:paraId="30A57404" w14:textId="2096C303" w:rsidR="006C55CC" w:rsidRDefault="006C55CC" w:rsidP="006C55CC">
            <w:pPr>
              <w:jc w:val="center"/>
              <w:rPr>
                <w:rFonts w:ascii="Arial" w:hAnsi="Arial" w:cs="Arial"/>
              </w:rPr>
            </w:pPr>
            <w:r>
              <w:rPr>
                <w:rFonts w:ascii="Arial" w:hAnsi="Arial" w:cs="Arial"/>
              </w:rPr>
              <w:t>G</w:t>
            </w:r>
          </w:p>
        </w:tc>
        <w:tc>
          <w:tcPr>
            <w:tcW w:w="6342" w:type="dxa"/>
            <w:tcBorders>
              <w:top w:val="nil"/>
              <w:left w:val="nil"/>
              <w:bottom w:val="single" w:sz="4" w:space="0" w:color="auto"/>
              <w:right w:val="single" w:sz="4" w:space="0" w:color="auto"/>
            </w:tcBorders>
            <w:shd w:val="clear" w:color="auto" w:fill="auto"/>
            <w:vAlign w:val="center"/>
          </w:tcPr>
          <w:p w14:paraId="0B422AE5" w14:textId="52C404FC" w:rsidR="006C55CC" w:rsidRDefault="006C55CC" w:rsidP="006C55CC">
            <w:pPr>
              <w:spacing w:after="120"/>
              <w:rPr>
                <w:rFonts w:ascii="Arial" w:hAnsi="Arial" w:cs="Arial"/>
              </w:rPr>
            </w:pPr>
            <w:r>
              <w:rPr>
                <w:rFonts w:ascii="Arial" w:hAnsi="Arial" w:cs="Arial"/>
                <w:color w:val="000000"/>
              </w:rPr>
              <w:t xml:space="preserve">First meeting of the group held early October. Agreed to progress carbon audit as the first major action. Action plan to be reviewed at next meetings (early and late November) as several aspects will have changed as a result of the pandemic and likely future ways of working and delivering services. </w:t>
            </w:r>
          </w:p>
        </w:tc>
      </w:tr>
    </w:tbl>
    <w:p w14:paraId="7E03E60E" w14:textId="77777777" w:rsidR="004909F0" w:rsidRPr="00B04377" w:rsidRDefault="004909F0" w:rsidP="004909F0">
      <w:pPr>
        <w:tabs>
          <w:tab w:val="left" w:pos="1134"/>
        </w:tabs>
        <w:rPr>
          <w:sz w:val="32"/>
        </w:rPr>
      </w:pPr>
      <w:r>
        <w:t xml:space="preserve"> </w:t>
      </w:r>
    </w:p>
    <w:p w14:paraId="7284FFD0" w14:textId="0404F0AA" w:rsidR="004909F0" w:rsidRDefault="004909F0" w:rsidP="004909F0">
      <w:pPr>
        <w:rPr>
          <w:rFonts w:ascii="Arial" w:hAnsi="Arial" w:cs="Arial"/>
          <w:bCs/>
          <w:sz w:val="24"/>
          <w:szCs w:val="24"/>
        </w:rPr>
      </w:pPr>
    </w:p>
    <w:tbl>
      <w:tblPr>
        <w:tblStyle w:val="TableGrid"/>
        <w:tblW w:w="15446" w:type="dxa"/>
        <w:tblLook w:val="04A0" w:firstRow="1" w:lastRow="0" w:firstColumn="1" w:lastColumn="0" w:noHBand="0" w:noVBand="1"/>
      </w:tblPr>
      <w:tblGrid>
        <w:gridCol w:w="3936"/>
        <w:gridCol w:w="1067"/>
        <w:gridCol w:w="963"/>
        <w:gridCol w:w="1085"/>
        <w:gridCol w:w="936"/>
        <w:gridCol w:w="1133"/>
        <w:gridCol w:w="6326"/>
      </w:tblGrid>
      <w:tr w:rsidR="0025355D" w:rsidRPr="002E7893" w14:paraId="45174A91" w14:textId="77777777" w:rsidTr="00BE54CD">
        <w:trPr>
          <w:trHeight w:val="521"/>
        </w:trPr>
        <w:tc>
          <w:tcPr>
            <w:tcW w:w="3936" w:type="dxa"/>
            <w:shd w:val="clear" w:color="auto" w:fill="3FAF8D"/>
            <w:vAlign w:val="center"/>
          </w:tcPr>
          <w:p w14:paraId="78FB4BF1" w14:textId="77777777" w:rsidR="009C3901" w:rsidRPr="004909F0" w:rsidRDefault="009C3901" w:rsidP="004909F0">
            <w:pPr>
              <w:tabs>
                <w:tab w:val="left" w:pos="1134"/>
              </w:tabs>
              <w:rPr>
                <w:rFonts w:ascii="Arial" w:hAnsi="Arial" w:cs="Arial"/>
                <w:b/>
                <w:bCs/>
                <w:szCs w:val="24"/>
              </w:rPr>
            </w:pPr>
            <w:r w:rsidRPr="004909F0">
              <w:rPr>
                <w:rFonts w:ascii="Arial" w:hAnsi="Arial" w:cs="Arial"/>
                <w:b/>
                <w:bCs/>
                <w:color w:val="FFFFFF" w:themeColor="background1"/>
                <w:szCs w:val="24"/>
              </w:rPr>
              <w:t>Key performance indicators</w:t>
            </w:r>
          </w:p>
        </w:tc>
        <w:tc>
          <w:tcPr>
            <w:tcW w:w="1067" w:type="dxa"/>
            <w:shd w:val="clear" w:color="auto" w:fill="3FAF8D"/>
            <w:vAlign w:val="center"/>
          </w:tcPr>
          <w:p w14:paraId="5B9D4B85" w14:textId="765A07A9" w:rsidR="009C3901" w:rsidRPr="004909F0" w:rsidRDefault="009C3901" w:rsidP="007A76E0">
            <w:pPr>
              <w:tabs>
                <w:tab w:val="left" w:pos="1134"/>
              </w:tabs>
              <w:jc w:val="center"/>
              <w:rPr>
                <w:rFonts w:ascii="Arial" w:hAnsi="Arial" w:cs="Arial"/>
                <w:b/>
                <w:bCs/>
                <w:color w:val="FFFFFF" w:themeColor="background1"/>
                <w:szCs w:val="24"/>
              </w:rPr>
            </w:pPr>
            <w:r w:rsidRPr="003410EB">
              <w:rPr>
                <w:rFonts w:ascii="Arial" w:hAnsi="Arial" w:cs="Arial"/>
                <w:b/>
                <w:bCs/>
                <w:color w:val="FFFFFF" w:themeColor="background1"/>
                <w:sz w:val="21"/>
                <w:szCs w:val="21"/>
              </w:rPr>
              <w:t>2019/20 actual</w:t>
            </w:r>
          </w:p>
        </w:tc>
        <w:tc>
          <w:tcPr>
            <w:tcW w:w="963" w:type="dxa"/>
            <w:shd w:val="clear" w:color="auto" w:fill="3FAF8D"/>
          </w:tcPr>
          <w:p w14:paraId="21BFED49" w14:textId="7CBEC7D6" w:rsidR="009C3901" w:rsidRDefault="009C3901" w:rsidP="004909F0">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Q1 actual</w:t>
            </w:r>
          </w:p>
        </w:tc>
        <w:tc>
          <w:tcPr>
            <w:tcW w:w="1085" w:type="dxa"/>
            <w:shd w:val="clear" w:color="auto" w:fill="3FAF8D"/>
          </w:tcPr>
          <w:p w14:paraId="3C67079B" w14:textId="7C0CBA29" w:rsidR="009C3901" w:rsidRPr="004909F0" w:rsidRDefault="009C3901" w:rsidP="004909F0">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Q2 actual</w:t>
            </w:r>
          </w:p>
        </w:tc>
        <w:tc>
          <w:tcPr>
            <w:tcW w:w="936" w:type="dxa"/>
            <w:shd w:val="clear" w:color="auto" w:fill="3FAF8D"/>
          </w:tcPr>
          <w:p w14:paraId="579B9A6D" w14:textId="505E2420" w:rsidR="009C3901" w:rsidRPr="004909F0" w:rsidRDefault="009C3901" w:rsidP="004909F0">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Trend</w:t>
            </w:r>
          </w:p>
        </w:tc>
        <w:tc>
          <w:tcPr>
            <w:tcW w:w="1133" w:type="dxa"/>
            <w:shd w:val="clear" w:color="auto" w:fill="3FAF8D"/>
          </w:tcPr>
          <w:p w14:paraId="04C6380B" w14:textId="77777777" w:rsidR="005A0669" w:rsidRDefault="009C3901" w:rsidP="0021109C">
            <w:pPr>
              <w:tabs>
                <w:tab w:val="left" w:pos="1134"/>
              </w:tabs>
              <w:jc w:val="center"/>
              <w:rPr>
                <w:rFonts w:ascii="Arial" w:hAnsi="Arial" w:cs="Arial"/>
                <w:b/>
                <w:bCs/>
                <w:color w:val="FFFFFF" w:themeColor="background1"/>
                <w:szCs w:val="24"/>
              </w:rPr>
            </w:pPr>
            <w:r w:rsidRPr="004909F0">
              <w:rPr>
                <w:rFonts w:ascii="Arial" w:hAnsi="Arial" w:cs="Arial"/>
                <w:b/>
                <w:bCs/>
                <w:color w:val="FFFFFF" w:themeColor="background1"/>
                <w:szCs w:val="24"/>
              </w:rPr>
              <w:t xml:space="preserve">Target </w:t>
            </w:r>
          </w:p>
          <w:p w14:paraId="07802EA1" w14:textId="20529D83" w:rsidR="009C3901" w:rsidRPr="004909F0" w:rsidRDefault="005A0669" w:rsidP="0021109C">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Q2</w:t>
            </w:r>
          </w:p>
        </w:tc>
        <w:tc>
          <w:tcPr>
            <w:tcW w:w="6326" w:type="dxa"/>
            <w:shd w:val="clear" w:color="auto" w:fill="3FAF8D"/>
          </w:tcPr>
          <w:p w14:paraId="5B898099" w14:textId="77777777" w:rsidR="009C3901" w:rsidRPr="004909F0" w:rsidRDefault="009C3901" w:rsidP="004909F0">
            <w:pPr>
              <w:tabs>
                <w:tab w:val="left" w:pos="1134"/>
              </w:tabs>
              <w:jc w:val="center"/>
              <w:rPr>
                <w:rFonts w:ascii="Arial" w:hAnsi="Arial" w:cs="Arial"/>
                <w:b/>
                <w:bCs/>
                <w:color w:val="FFFFFF" w:themeColor="background1"/>
                <w:szCs w:val="24"/>
              </w:rPr>
            </w:pPr>
            <w:r w:rsidRPr="004909F0">
              <w:rPr>
                <w:rFonts w:ascii="Arial" w:hAnsi="Arial" w:cs="Arial"/>
                <w:b/>
                <w:bCs/>
                <w:color w:val="FFFFFF" w:themeColor="background1"/>
                <w:szCs w:val="24"/>
              </w:rPr>
              <w:t>Progress and management action (where red/amber)</w:t>
            </w:r>
          </w:p>
        </w:tc>
      </w:tr>
      <w:tr w:rsidR="0025355D" w:rsidRPr="002E7893" w14:paraId="1E02B9B5" w14:textId="77777777" w:rsidTr="00BE54CD">
        <w:trPr>
          <w:trHeight w:val="590"/>
        </w:trPr>
        <w:tc>
          <w:tcPr>
            <w:tcW w:w="3936" w:type="dxa"/>
            <w:vAlign w:val="center"/>
          </w:tcPr>
          <w:p w14:paraId="6DBB82DA" w14:textId="0CBAD9DB" w:rsidR="009C3901" w:rsidRPr="00D26961" w:rsidRDefault="009C3901" w:rsidP="009C3901">
            <w:pPr>
              <w:rPr>
                <w:rFonts w:ascii="Arial" w:eastAsia="Times New Roman" w:hAnsi="Arial" w:cs="Arial"/>
                <w:color w:val="000000"/>
                <w:szCs w:val="20"/>
                <w:lang w:eastAsia="en-GB"/>
              </w:rPr>
            </w:pPr>
            <w:r>
              <w:rPr>
                <w:rFonts w:ascii="Arial" w:hAnsi="Arial" w:cs="Arial"/>
              </w:rPr>
              <w:t xml:space="preserve">Number of fly tipping incidents </w:t>
            </w:r>
          </w:p>
        </w:tc>
        <w:tc>
          <w:tcPr>
            <w:tcW w:w="1067" w:type="dxa"/>
            <w:vAlign w:val="center"/>
          </w:tcPr>
          <w:p w14:paraId="4D97E060" w14:textId="74321CDF" w:rsidR="009C3901" w:rsidRPr="00585EE6" w:rsidRDefault="009C3901" w:rsidP="009C3901">
            <w:pPr>
              <w:spacing w:line="259" w:lineRule="auto"/>
              <w:jc w:val="center"/>
              <w:rPr>
                <w:rFonts w:ascii="Arial" w:hAnsi="Arial" w:cs="Arial"/>
              </w:rPr>
            </w:pPr>
            <w:r>
              <w:rPr>
                <w:rFonts w:ascii="Arial" w:hAnsi="Arial" w:cs="Arial"/>
              </w:rPr>
              <w:t>689</w:t>
            </w:r>
          </w:p>
        </w:tc>
        <w:tc>
          <w:tcPr>
            <w:tcW w:w="963" w:type="dxa"/>
            <w:vAlign w:val="center"/>
          </w:tcPr>
          <w:p w14:paraId="3D96196A" w14:textId="64B739C2" w:rsidR="009C3901" w:rsidRDefault="009C3901" w:rsidP="009C3901">
            <w:pPr>
              <w:jc w:val="center"/>
              <w:rPr>
                <w:rFonts w:ascii="Arial" w:hAnsi="Arial" w:cs="Arial"/>
              </w:rPr>
            </w:pPr>
            <w:r>
              <w:rPr>
                <w:rFonts w:ascii="Arial" w:hAnsi="Arial" w:cs="Arial"/>
              </w:rPr>
              <w:t>328</w:t>
            </w:r>
          </w:p>
        </w:tc>
        <w:tc>
          <w:tcPr>
            <w:tcW w:w="1085" w:type="dxa"/>
            <w:shd w:val="clear" w:color="auto" w:fill="auto"/>
            <w:vAlign w:val="center"/>
          </w:tcPr>
          <w:p w14:paraId="5687B464" w14:textId="71B828C2" w:rsidR="009C3901" w:rsidRPr="00585EE6" w:rsidRDefault="005A0669" w:rsidP="009C3901">
            <w:pPr>
              <w:jc w:val="center"/>
              <w:rPr>
                <w:rFonts w:ascii="Arial" w:hAnsi="Arial" w:cs="Arial"/>
              </w:rPr>
            </w:pPr>
            <w:r>
              <w:rPr>
                <w:rFonts w:ascii="Arial" w:hAnsi="Arial" w:cs="Arial"/>
              </w:rPr>
              <w:t>283</w:t>
            </w:r>
          </w:p>
        </w:tc>
        <w:tc>
          <w:tcPr>
            <w:tcW w:w="936" w:type="dxa"/>
            <w:vAlign w:val="center"/>
          </w:tcPr>
          <w:p w14:paraId="2F204149" w14:textId="5984B479" w:rsidR="009C3901" w:rsidRPr="1182FF59" w:rsidRDefault="005A0669" w:rsidP="009C3901">
            <w:pPr>
              <w:jc w:val="center"/>
              <w:rPr>
                <w:rFonts w:ascii="Arial" w:hAnsi="Arial" w:cs="Arial"/>
              </w:rPr>
            </w:pPr>
            <w:r w:rsidRPr="00E14EFF">
              <w:rPr>
                <w:rFonts w:ascii="Wingdings 3" w:eastAsia="Wingdings 3" w:hAnsi="Wingdings 3" w:cs="Wingdings 3"/>
                <w:sz w:val="32"/>
                <w:szCs w:val="21"/>
              </w:rPr>
              <w:t></w:t>
            </w:r>
          </w:p>
        </w:tc>
        <w:tc>
          <w:tcPr>
            <w:tcW w:w="1133" w:type="dxa"/>
            <w:vAlign w:val="center"/>
          </w:tcPr>
          <w:p w14:paraId="03756903" w14:textId="038542F0" w:rsidR="009C3901" w:rsidRPr="1182FF59" w:rsidRDefault="009C3901" w:rsidP="00FF5FB5">
            <w:pPr>
              <w:jc w:val="center"/>
              <w:rPr>
                <w:rFonts w:ascii="Arial" w:hAnsi="Arial" w:cs="Arial"/>
              </w:rPr>
            </w:pPr>
            <w:r>
              <w:rPr>
                <w:rFonts w:ascii="Arial" w:hAnsi="Arial" w:cs="Arial"/>
              </w:rPr>
              <w:t>Red</w:t>
            </w:r>
            <w:r w:rsidR="00FF5FB5">
              <w:rPr>
                <w:rFonts w:ascii="Arial" w:hAnsi="Arial" w:cs="Arial"/>
              </w:rPr>
              <w:t>uce</w:t>
            </w:r>
          </w:p>
        </w:tc>
        <w:tc>
          <w:tcPr>
            <w:tcW w:w="6326" w:type="dxa"/>
            <w:vAlign w:val="center"/>
          </w:tcPr>
          <w:p w14:paraId="4A4A4340" w14:textId="128956DA" w:rsidR="009C3901" w:rsidRPr="00E01010" w:rsidRDefault="005A0669" w:rsidP="005A0669">
            <w:pPr>
              <w:rPr>
                <w:rFonts w:ascii="Arial" w:hAnsi="Arial" w:cs="Arial"/>
                <w:highlight w:val="yellow"/>
              </w:rPr>
            </w:pPr>
            <w:r>
              <w:rPr>
                <w:rFonts w:ascii="Arial" w:hAnsi="Arial" w:cs="Arial"/>
              </w:rPr>
              <w:t xml:space="preserve">An improvement </w:t>
            </w:r>
            <w:r w:rsidR="009C3901" w:rsidRPr="005A0669">
              <w:rPr>
                <w:rFonts w:ascii="Arial" w:hAnsi="Arial" w:cs="Arial"/>
              </w:rPr>
              <w:t>since the last quarter</w:t>
            </w:r>
            <w:r>
              <w:rPr>
                <w:rFonts w:ascii="Arial" w:hAnsi="Arial" w:cs="Arial"/>
              </w:rPr>
              <w:t>,</w:t>
            </w:r>
            <w:r w:rsidR="009C3901" w:rsidRPr="005A0669">
              <w:rPr>
                <w:rFonts w:ascii="Arial" w:hAnsi="Arial" w:cs="Arial"/>
              </w:rPr>
              <w:t xml:space="preserve"> </w:t>
            </w:r>
            <w:r w:rsidRPr="005A0669">
              <w:rPr>
                <w:rFonts w:ascii="Arial" w:hAnsi="Arial" w:cs="Arial"/>
              </w:rPr>
              <w:t>but rates are still</w:t>
            </w:r>
            <w:r>
              <w:rPr>
                <w:rFonts w:ascii="Arial" w:hAnsi="Arial" w:cs="Arial"/>
              </w:rPr>
              <w:t xml:space="preserve"> significantly </w:t>
            </w:r>
            <w:r w:rsidRPr="005A0669">
              <w:rPr>
                <w:rFonts w:ascii="Arial" w:hAnsi="Arial" w:cs="Arial"/>
              </w:rPr>
              <w:t xml:space="preserve">higher than </w:t>
            </w:r>
            <w:r w:rsidR="009C3901" w:rsidRPr="005A0669">
              <w:rPr>
                <w:rFonts w:ascii="Arial" w:hAnsi="Arial" w:cs="Arial"/>
              </w:rPr>
              <w:t>last year (Q</w:t>
            </w:r>
            <w:r w:rsidRPr="005A0669">
              <w:rPr>
                <w:rFonts w:ascii="Arial" w:hAnsi="Arial" w:cs="Arial"/>
              </w:rPr>
              <w:t xml:space="preserve">2 2019/20 </w:t>
            </w:r>
            <w:r>
              <w:rPr>
                <w:rFonts w:ascii="Arial" w:hAnsi="Arial" w:cs="Arial"/>
              </w:rPr>
              <w:t>–</w:t>
            </w:r>
            <w:r w:rsidRPr="005A0669">
              <w:rPr>
                <w:rFonts w:ascii="Arial" w:hAnsi="Arial" w:cs="Arial"/>
              </w:rPr>
              <w:t xml:space="preserve"> 154</w:t>
            </w:r>
            <w:r>
              <w:rPr>
                <w:rFonts w:ascii="Arial" w:hAnsi="Arial" w:cs="Arial"/>
              </w:rPr>
              <w:t>)</w:t>
            </w:r>
            <w:r w:rsidR="009C3901" w:rsidRPr="005A0669">
              <w:rPr>
                <w:rFonts w:ascii="Arial" w:hAnsi="Arial" w:cs="Arial"/>
              </w:rPr>
              <w:t>.</w:t>
            </w:r>
          </w:p>
        </w:tc>
      </w:tr>
      <w:tr w:rsidR="0025355D" w:rsidRPr="002E7893" w14:paraId="1AADBECD" w14:textId="77777777" w:rsidTr="00BE54CD">
        <w:trPr>
          <w:trHeight w:val="712"/>
        </w:trPr>
        <w:tc>
          <w:tcPr>
            <w:tcW w:w="3936" w:type="dxa"/>
            <w:vAlign w:val="center"/>
          </w:tcPr>
          <w:p w14:paraId="699B04DB" w14:textId="524A7358" w:rsidR="009C3901" w:rsidRPr="00D26961" w:rsidRDefault="009C3901" w:rsidP="009C3901">
            <w:pPr>
              <w:rPr>
                <w:rFonts w:ascii="Arial" w:eastAsia="Times New Roman" w:hAnsi="Arial" w:cs="Arial"/>
                <w:color w:val="000000"/>
                <w:szCs w:val="20"/>
                <w:lang w:eastAsia="en-GB"/>
              </w:rPr>
            </w:pPr>
            <w:r w:rsidRPr="6A01CFCF">
              <w:rPr>
                <w:rFonts w:ascii="Arial" w:hAnsi="Arial" w:cs="Arial"/>
              </w:rPr>
              <w:t>Number of Fixed Penalty Notices issued (fly tipping)</w:t>
            </w:r>
          </w:p>
        </w:tc>
        <w:tc>
          <w:tcPr>
            <w:tcW w:w="1067" w:type="dxa"/>
            <w:vAlign w:val="center"/>
          </w:tcPr>
          <w:p w14:paraId="7B1636EC" w14:textId="253DBBF8" w:rsidR="009C3901" w:rsidRPr="00585EE6" w:rsidRDefault="009C3901" w:rsidP="009C3901">
            <w:pPr>
              <w:spacing w:line="259" w:lineRule="auto"/>
              <w:jc w:val="center"/>
              <w:rPr>
                <w:rFonts w:ascii="Arial" w:hAnsi="Arial" w:cs="Arial"/>
              </w:rPr>
            </w:pPr>
            <w:r w:rsidRPr="00585EE6">
              <w:rPr>
                <w:rFonts w:ascii="Arial" w:hAnsi="Arial" w:cs="Arial"/>
              </w:rPr>
              <w:t>9</w:t>
            </w:r>
          </w:p>
        </w:tc>
        <w:tc>
          <w:tcPr>
            <w:tcW w:w="963" w:type="dxa"/>
            <w:vAlign w:val="center"/>
          </w:tcPr>
          <w:p w14:paraId="59E1908C" w14:textId="1754382A" w:rsidR="009C3901" w:rsidRPr="00585EE6" w:rsidRDefault="009C3901" w:rsidP="009C3901">
            <w:pPr>
              <w:jc w:val="center"/>
              <w:rPr>
                <w:rFonts w:ascii="Arial" w:hAnsi="Arial" w:cs="Arial"/>
              </w:rPr>
            </w:pPr>
            <w:r w:rsidRPr="00585EE6">
              <w:rPr>
                <w:rFonts w:ascii="Arial" w:hAnsi="Arial" w:cs="Arial"/>
              </w:rPr>
              <w:t>0</w:t>
            </w:r>
          </w:p>
        </w:tc>
        <w:tc>
          <w:tcPr>
            <w:tcW w:w="1085" w:type="dxa"/>
            <w:vAlign w:val="center"/>
          </w:tcPr>
          <w:p w14:paraId="1E45F51F" w14:textId="6C3941F1" w:rsidR="009C3901" w:rsidRPr="00585EE6" w:rsidRDefault="00581938" w:rsidP="009C3901">
            <w:pPr>
              <w:jc w:val="center"/>
              <w:rPr>
                <w:rFonts w:ascii="Arial" w:hAnsi="Arial" w:cs="Arial"/>
              </w:rPr>
            </w:pPr>
            <w:r>
              <w:rPr>
                <w:rFonts w:ascii="Arial" w:hAnsi="Arial" w:cs="Arial"/>
              </w:rPr>
              <w:t>4</w:t>
            </w:r>
          </w:p>
        </w:tc>
        <w:tc>
          <w:tcPr>
            <w:tcW w:w="936" w:type="dxa"/>
            <w:vAlign w:val="center"/>
          </w:tcPr>
          <w:p w14:paraId="7CD963A0" w14:textId="50EEE1BC" w:rsidR="009C3901" w:rsidRPr="1182FF59" w:rsidRDefault="00581938" w:rsidP="009C3901">
            <w:pPr>
              <w:jc w:val="center"/>
              <w:rPr>
                <w:rFonts w:ascii="Arial" w:hAnsi="Arial" w:cs="Arial"/>
              </w:rPr>
            </w:pPr>
            <w:r w:rsidRPr="00E14EFF">
              <w:rPr>
                <w:rFonts w:ascii="Wingdings 3" w:eastAsia="Wingdings 3" w:hAnsi="Wingdings 3" w:cs="Wingdings 3"/>
                <w:sz w:val="32"/>
                <w:szCs w:val="21"/>
              </w:rPr>
              <w:t></w:t>
            </w:r>
          </w:p>
        </w:tc>
        <w:tc>
          <w:tcPr>
            <w:tcW w:w="1133" w:type="dxa"/>
            <w:vAlign w:val="center"/>
          </w:tcPr>
          <w:p w14:paraId="3ACFE843" w14:textId="4FDBB702" w:rsidR="009C3901" w:rsidRPr="1182FF59" w:rsidRDefault="009C3901" w:rsidP="00FF5FB5">
            <w:pPr>
              <w:jc w:val="center"/>
              <w:rPr>
                <w:rFonts w:ascii="Arial" w:hAnsi="Arial" w:cs="Arial"/>
              </w:rPr>
            </w:pPr>
            <w:r>
              <w:rPr>
                <w:rFonts w:ascii="Arial" w:hAnsi="Arial" w:cs="Arial"/>
              </w:rPr>
              <w:t>Increase</w:t>
            </w:r>
          </w:p>
        </w:tc>
        <w:tc>
          <w:tcPr>
            <w:tcW w:w="6326" w:type="dxa"/>
            <w:vAlign w:val="center"/>
          </w:tcPr>
          <w:p w14:paraId="550E24FC" w14:textId="7926D51F" w:rsidR="009C3901" w:rsidRPr="00E01010" w:rsidRDefault="009C3901" w:rsidP="00581938">
            <w:pPr>
              <w:rPr>
                <w:rFonts w:ascii="Arial" w:hAnsi="Arial" w:cs="Arial"/>
                <w:highlight w:val="yellow"/>
              </w:rPr>
            </w:pPr>
            <w:r w:rsidRPr="005A0669">
              <w:rPr>
                <w:rFonts w:ascii="Arial" w:hAnsi="Arial" w:cs="Arial"/>
              </w:rPr>
              <w:t>Challenges posed by the pandemic have led to detailed risk assessments having to be carried out to ensure safety of enforcement officers</w:t>
            </w:r>
            <w:r w:rsidR="005A0669" w:rsidRPr="005A0669">
              <w:rPr>
                <w:rFonts w:ascii="Arial" w:hAnsi="Arial" w:cs="Arial"/>
              </w:rPr>
              <w:t>, but officers are out patrolling and investigating</w:t>
            </w:r>
            <w:r w:rsidR="005A0669">
              <w:rPr>
                <w:rFonts w:ascii="Arial" w:hAnsi="Arial" w:cs="Arial"/>
              </w:rPr>
              <w:t xml:space="preserve"> now</w:t>
            </w:r>
            <w:r w:rsidR="00581938">
              <w:rPr>
                <w:rFonts w:ascii="Arial" w:hAnsi="Arial" w:cs="Arial"/>
              </w:rPr>
              <w:t xml:space="preserve"> with FPNs issued in Q2</w:t>
            </w:r>
            <w:r w:rsidR="005A0669" w:rsidRPr="005A0669">
              <w:rPr>
                <w:rFonts w:ascii="Arial" w:hAnsi="Arial" w:cs="Arial"/>
              </w:rPr>
              <w:t xml:space="preserve">. </w:t>
            </w:r>
          </w:p>
        </w:tc>
      </w:tr>
      <w:tr w:rsidR="0025355D" w:rsidRPr="002E7893" w14:paraId="7241634A" w14:textId="77777777" w:rsidTr="00BE54CD">
        <w:trPr>
          <w:trHeight w:val="555"/>
        </w:trPr>
        <w:tc>
          <w:tcPr>
            <w:tcW w:w="3936" w:type="dxa"/>
            <w:vAlign w:val="center"/>
          </w:tcPr>
          <w:p w14:paraId="61421CDC" w14:textId="6EF62A7F" w:rsidR="0025355D" w:rsidRPr="009C18CE" w:rsidRDefault="0025355D" w:rsidP="009C3901">
            <w:pPr>
              <w:rPr>
                <w:rFonts w:ascii="Arial" w:hAnsi="Arial" w:cs="Arial"/>
              </w:rPr>
            </w:pPr>
            <w:r w:rsidRPr="009C18CE">
              <w:rPr>
                <w:rFonts w:ascii="Arial" w:hAnsi="Arial" w:cs="Arial"/>
              </w:rPr>
              <w:t>% of household waste sent for reuse, recycling and composting</w:t>
            </w:r>
          </w:p>
        </w:tc>
        <w:tc>
          <w:tcPr>
            <w:tcW w:w="1067" w:type="dxa"/>
            <w:vAlign w:val="center"/>
          </w:tcPr>
          <w:p w14:paraId="405A1CB5" w14:textId="565B8E5F" w:rsidR="0025355D" w:rsidRDefault="0025355D" w:rsidP="009C3901">
            <w:pPr>
              <w:jc w:val="center"/>
              <w:rPr>
                <w:rFonts w:ascii="Arial" w:hAnsi="Arial" w:cs="Arial"/>
              </w:rPr>
            </w:pPr>
            <w:r>
              <w:rPr>
                <w:rFonts w:ascii="Arial" w:hAnsi="Arial" w:cs="Arial"/>
              </w:rPr>
              <w:t>33.7%</w:t>
            </w:r>
          </w:p>
        </w:tc>
        <w:tc>
          <w:tcPr>
            <w:tcW w:w="963" w:type="dxa"/>
            <w:shd w:val="clear" w:color="auto" w:fill="FFC000"/>
            <w:vAlign w:val="center"/>
          </w:tcPr>
          <w:p w14:paraId="5FF54D9F" w14:textId="2B661B3E" w:rsidR="0025355D" w:rsidRDefault="0025355D" w:rsidP="0025355D">
            <w:pPr>
              <w:jc w:val="center"/>
              <w:rPr>
                <w:rFonts w:ascii="Arial" w:hAnsi="Arial" w:cs="Arial"/>
              </w:rPr>
            </w:pPr>
            <w:r>
              <w:rPr>
                <w:rFonts w:ascii="Arial" w:hAnsi="Arial" w:cs="Arial"/>
              </w:rPr>
              <w:t>37.7%</w:t>
            </w:r>
          </w:p>
        </w:tc>
        <w:tc>
          <w:tcPr>
            <w:tcW w:w="1085" w:type="dxa"/>
            <w:vAlign w:val="center"/>
          </w:tcPr>
          <w:p w14:paraId="4BD0D927" w14:textId="77777777" w:rsidR="0025355D" w:rsidRDefault="0025355D" w:rsidP="009C3901">
            <w:pPr>
              <w:jc w:val="center"/>
              <w:rPr>
                <w:rFonts w:ascii="Arial" w:hAnsi="Arial" w:cs="Arial"/>
              </w:rPr>
            </w:pPr>
            <w:r>
              <w:rPr>
                <w:rFonts w:ascii="Arial" w:hAnsi="Arial" w:cs="Arial"/>
              </w:rPr>
              <w:t>Data not yet available</w:t>
            </w:r>
          </w:p>
        </w:tc>
        <w:tc>
          <w:tcPr>
            <w:tcW w:w="936" w:type="dxa"/>
            <w:vAlign w:val="center"/>
          </w:tcPr>
          <w:p w14:paraId="5C0C1E19" w14:textId="63EA80AD" w:rsidR="0025355D" w:rsidRDefault="0025355D" w:rsidP="009C3901">
            <w:pPr>
              <w:jc w:val="center"/>
              <w:rPr>
                <w:rFonts w:ascii="Arial" w:hAnsi="Arial" w:cs="Arial"/>
              </w:rPr>
            </w:pPr>
            <w:r w:rsidRPr="00E14EFF">
              <w:rPr>
                <w:rFonts w:ascii="Wingdings 3" w:eastAsia="Wingdings 3" w:hAnsi="Wingdings 3" w:cs="Wingdings 3"/>
                <w:sz w:val="32"/>
                <w:szCs w:val="21"/>
              </w:rPr>
              <w:t></w:t>
            </w:r>
          </w:p>
        </w:tc>
        <w:tc>
          <w:tcPr>
            <w:tcW w:w="1133" w:type="dxa"/>
            <w:vAlign w:val="center"/>
          </w:tcPr>
          <w:p w14:paraId="57EB96D2" w14:textId="5C92F44B" w:rsidR="0025355D" w:rsidRDefault="005A0669" w:rsidP="009C3901">
            <w:pPr>
              <w:jc w:val="center"/>
              <w:rPr>
                <w:rFonts w:ascii="Arial" w:hAnsi="Arial" w:cs="Arial"/>
              </w:rPr>
            </w:pPr>
            <w:r>
              <w:rPr>
                <w:rFonts w:ascii="Arial" w:hAnsi="Arial" w:cs="Arial"/>
              </w:rPr>
              <w:t>41.5</w:t>
            </w:r>
            <w:r w:rsidR="0025355D">
              <w:rPr>
                <w:rFonts w:ascii="Arial" w:hAnsi="Arial" w:cs="Arial"/>
              </w:rPr>
              <w:t>%</w:t>
            </w:r>
          </w:p>
        </w:tc>
        <w:tc>
          <w:tcPr>
            <w:tcW w:w="6326" w:type="dxa"/>
            <w:vAlign w:val="center"/>
          </w:tcPr>
          <w:p w14:paraId="0405EC28" w14:textId="415A5117" w:rsidR="0025355D" w:rsidRPr="008312A9" w:rsidRDefault="0025355D" w:rsidP="0017434E">
            <w:pPr>
              <w:rPr>
                <w:rFonts w:ascii="Arial" w:hAnsi="Arial" w:cs="Arial"/>
              </w:rPr>
            </w:pPr>
            <w:r w:rsidRPr="005A0669">
              <w:rPr>
                <w:rFonts w:ascii="Arial" w:hAnsi="Arial" w:cs="Arial"/>
              </w:rPr>
              <w:t xml:space="preserve">Performance in Q1 </w:t>
            </w:r>
            <w:r w:rsidR="0017434E">
              <w:rPr>
                <w:rFonts w:ascii="Arial" w:hAnsi="Arial" w:cs="Arial"/>
              </w:rPr>
              <w:t>was</w:t>
            </w:r>
            <w:r w:rsidR="008312A9" w:rsidRPr="008312A9">
              <w:rPr>
                <w:rFonts w:ascii="Arial" w:hAnsi="Arial" w:cs="Arial"/>
              </w:rPr>
              <w:t xml:space="preserve"> lower in Q1 2020/21 than the previous two years due to the temporary suspension of garden waste services. The decision was taken by the council to suspend the garden waste service to allow a more guaranteed and continuous residual refuse service from the start of the </w:t>
            </w:r>
            <w:r w:rsidR="008312A9" w:rsidRPr="008312A9">
              <w:rPr>
                <w:rFonts w:ascii="Arial" w:hAnsi="Arial" w:cs="Arial"/>
              </w:rPr>
              <w:lastRenderedPageBreak/>
              <w:t xml:space="preserve">contract with AWS which coincided with the </w:t>
            </w:r>
            <w:r w:rsidR="008312A9">
              <w:rPr>
                <w:rFonts w:ascii="Arial" w:hAnsi="Arial" w:cs="Arial"/>
              </w:rPr>
              <w:t>C</w:t>
            </w:r>
            <w:r w:rsidR="008312A9" w:rsidRPr="008312A9">
              <w:rPr>
                <w:rFonts w:ascii="Arial" w:hAnsi="Arial" w:cs="Arial"/>
              </w:rPr>
              <w:t>ovid</w:t>
            </w:r>
            <w:r w:rsidR="0017434E">
              <w:rPr>
                <w:rFonts w:ascii="Arial" w:hAnsi="Arial" w:cs="Arial"/>
              </w:rPr>
              <w:t>-19</w:t>
            </w:r>
            <w:r w:rsidR="008312A9" w:rsidRPr="008312A9">
              <w:rPr>
                <w:rFonts w:ascii="Arial" w:hAnsi="Arial" w:cs="Arial"/>
              </w:rPr>
              <w:t xml:space="preserve"> pandemic and the national lockdown. Although some improved tonnages </w:t>
            </w:r>
            <w:r w:rsidR="0017434E">
              <w:rPr>
                <w:rFonts w:ascii="Arial" w:hAnsi="Arial" w:cs="Arial"/>
              </w:rPr>
              <w:t>were</w:t>
            </w:r>
            <w:r w:rsidR="008312A9" w:rsidRPr="008312A9">
              <w:rPr>
                <w:rFonts w:ascii="Arial" w:hAnsi="Arial" w:cs="Arial"/>
              </w:rPr>
              <w:t xml:space="preserve"> seen in the latter stages of Q1 the delayed start-up of the garden waste collection services has had a detrimental effect on the recycling rate. In addition the increased tonnages of residual refuse created from families being locked down at home further supresses this recycling rate.</w:t>
            </w:r>
          </w:p>
        </w:tc>
      </w:tr>
      <w:tr w:rsidR="0025355D" w:rsidRPr="002E7893" w14:paraId="41669154" w14:textId="77777777" w:rsidTr="00BE54CD">
        <w:trPr>
          <w:trHeight w:val="555"/>
        </w:trPr>
        <w:tc>
          <w:tcPr>
            <w:tcW w:w="3936" w:type="dxa"/>
            <w:vAlign w:val="center"/>
          </w:tcPr>
          <w:p w14:paraId="274F731B" w14:textId="13C50548" w:rsidR="0025355D" w:rsidRPr="009C18CE" w:rsidRDefault="0025355D" w:rsidP="0025355D">
            <w:pPr>
              <w:rPr>
                <w:rFonts w:ascii="Arial" w:hAnsi="Arial" w:cs="Arial"/>
              </w:rPr>
            </w:pPr>
            <w:r w:rsidRPr="009C18CE">
              <w:rPr>
                <w:rFonts w:ascii="Arial" w:hAnsi="Arial" w:cs="Arial"/>
              </w:rPr>
              <w:lastRenderedPageBreak/>
              <w:t>Residual waste per household (kgs)</w:t>
            </w:r>
          </w:p>
        </w:tc>
        <w:tc>
          <w:tcPr>
            <w:tcW w:w="1067" w:type="dxa"/>
            <w:vAlign w:val="center"/>
          </w:tcPr>
          <w:p w14:paraId="2DFF93C6" w14:textId="07D752BA" w:rsidR="0025355D" w:rsidRDefault="0025355D" w:rsidP="0025355D">
            <w:pPr>
              <w:jc w:val="center"/>
              <w:rPr>
                <w:rFonts w:ascii="Arial" w:hAnsi="Arial" w:cs="Arial"/>
              </w:rPr>
            </w:pPr>
            <w:r>
              <w:rPr>
                <w:rFonts w:ascii="Arial" w:hAnsi="Arial" w:cs="Arial"/>
              </w:rPr>
              <w:t>522.09</w:t>
            </w:r>
          </w:p>
        </w:tc>
        <w:tc>
          <w:tcPr>
            <w:tcW w:w="963" w:type="dxa"/>
            <w:shd w:val="clear" w:color="auto" w:fill="C00000"/>
            <w:vAlign w:val="center"/>
          </w:tcPr>
          <w:p w14:paraId="40D4D8EA" w14:textId="6A8D528E" w:rsidR="0025355D" w:rsidRDefault="0025355D" w:rsidP="0025355D">
            <w:pPr>
              <w:jc w:val="center"/>
              <w:rPr>
                <w:rFonts w:ascii="Arial" w:hAnsi="Arial" w:cs="Arial"/>
              </w:rPr>
            </w:pPr>
            <w:r w:rsidRPr="0025355D">
              <w:rPr>
                <w:rFonts w:ascii="Arial" w:hAnsi="Arial" w:cs="Arial"/>
              </w:rPr>
              <w:t>147.81</w:t>
            </w:r>
          </w:p>
        </w:tc>
        <w:tc>
          <w:tcPr>
            <w:tcW w:w="1085" w:type="dxa"/>
            <w:vAlign w:val="center"/>
          </w:tcPr>
          <w:p w14:paraId="40925583" w14:textId="4AA4F923" w:rsidR="0025355D" w:rsidRDefault="0025355D" w:rsidP="0025355D">
            <w:pPr>
              <w:jc w:val="center"/>
              <w:rPr>
                <w:rFonts w:ascii="Arial" w:hAnsi="Arial" w:cs="Arial"/>
              </w:rPr>
            </w:pPr>
            <w:r>
              <w:rPr>
                <w:rFonts w:ascii="Arial" w:hAnsi="Arial" w:cs="Arial"/>
              </w:rPr>
              <w:t>Data not yet available</w:t>
            </w:r>
          </w:p>
        </w:tc>
        <w:tc>
          <w:tcPr>
            <w:tcW w:w="936" w:type="dxa"/>
            <w:vAlign w:val="center"/>
          </w:tcPr>
          <w:p w14:paraId="48E74786" w14:textId="1D429AB4" w:rsidR="0025355D" w:rsidRDefault="0025355D" w:rsidP="0025355D">
            <w:pPr>
              <w:jc w:val="center"/>
              <w:rPr>
                <w:rFonts w:ascii="Arial" w:hAnsi="Arial" w:cs="Arial"/>
              </w:rPr>
            </w:pPr>
            <w:r w:rsidRPr="00E14EFF">
              <w:rPr>
                <w:rFonts w:ascii="Wingdings 3" w:eastAsia="Wingdings 3" w:hAnsi="Wingdings 3" w:cs="Wingdings 3"/>
                <w:sz w:val="32"/>
                <w:szCs w:val="21"/>
              </w:rPr>
              <w:t></w:t>
            </w:r>
          </w:p>
        </w:tc>
        <w:tc>
          <w:tcPr>
            <w:tcW w:w="1133" w:type="dxa"/>
            <w:vAlign w:val="center"/>
          </w:tcPr>
          <w:p w14:paraId="6BAFBDB6" w14:textId="11779FC8" w:rsidR="0025355D" w:rsidRDefault="005A0669" w:rsidP="0025355D">
            <w:pPr>
              <w:jc w:val="center"/>
              <w:rPr>
                <w:rFonts w:ascii="Arial" w:hAnsi="Arial" w:cs="Arial"/>
              </w:rPr>
            </w:pPr>
            <w:r>
              <w:rPr>
                <w:rFonts w:ascii="Arial" w:hAnsi="Arial" w:cs="Arial"/>
              </w:rPr>
              <w:t>129</w:t>
            </w:r>
            <w:r w:rsidR="0025355D">
              <w:rPr>
                <w:rFonts w:ascii="Arial" w:hAnsi="Arial" w:cs="Arial"/>
              </w:rPr>
              <w:t>kg</w:t>
            </w:r>
          </w:p>
        </w:tc>
        <w:tc>
          <w:tcPr>
            <w:tcW w:w="6326" w:type="dxa"/>
            <w:vAlign w:val="center"/>
          </w:tcPr>
          <w:p w14:paraId="500DEDBF" w14:textId="0D1717BA" w:rsidR="0025355D" w:rsidRPr="008312A9" w:rsidRDefault="008312A9" w:rsidP="0017434E">
            <w:pPr>
              <w:rPr>
                <w:rFonts w:ascii="Arial" w:hAnsi="Arial" w:cs="Arial"/>
              </w:rPr>
            </w:pPr>
            <w:r>
              <w:rPr>
                <w:rFonts w:ascii="Arial" w:hAnsi="Arial" w:cs="Arial"/>
              </w:rPr>
              <w:t xml:space="preserve">The temporary suspension </w:t>
            </w:r>
            <w:r w:rsidRPr="008312A9">
              <w:rPr>
                <w:rFonts w:ascii="Arial" w:hAnsi="Arial" w:cs="Arial"/>
              </w:rPr>
              <w:t xml:space="preserve">of garden waste allowed AWS management team and collection crews to focus on collecting the extra refuse that was </w:t>
            </w:r>
            <w:r w:rsidR="0017434E">
              <w:rPr>
                <w:rFonts w:ascii="Arial" w:hAnsi="Arial" w:cs="Arial"/>
              </w:rPr>
              <w:t>put out</w:t>
            </w:r>
            <w:r w:rsidRPr="008312A9">
              <w:rPr>
                <w:rFonts w:ascii="Arial" w:hAnsi="Arial" w:cs="Arial"/>
              </w:rPr>
              <w:t xml:space="preserve"> which had </w:t>
            </w:r>
            <w:r w:rsidR="0017434E">
              <w:rPr>
                <w:rFonts w:ascii="Arial" w:hAnsi="Arial" w:cs="Arial"/>
              </w:rPr>
              <w:t>resulted from</w:t>
            </w:r>
            <w:r w:rsidRPr="008312A9">
              <w:rPr>
                <w:rFonts w:ascii="Arial" w:hAnsi="Arial" w:cs="Arial"/>
              </w:rPr>
              <w:t xml:space="preserve"> most residents being under lockdown at home. To protect public health during the lockdown the normal practice of </w:t>
            </w:r>
            <w:r w:rsidR="0017434E">
              <w:rPr>
                <w:rFonts w:ascii="Arial" w:hAnsi="Arial" w:cs="Arial"/>
              </w:rPr>
              <w:t xml:space="preserve">not collecting </w:t>
            </w:r>
            <w:r w:rsidRPr="008312A9">
              <w:rPr>
                <w:rFonts w:ascii="Arial" w:hAnsi="Arial" w:cs="Arial"/>
              </w:rPr>
              <w:t xml:space="preserve">excess waste </w:t>
            </w:r>
            <w:r w:rsidR="0017434E">
              <w:rPr>
                <w:rFonts w:ascii="Arial" w:hAnsi="Arial" w:cs="Arial"/>
              </w:rPr>
              <w:t xml:space="preserve">left </w:t>
            </w:r>
            <w:r w:rsidRPr="008312A9">
              <w:rPr>
                <w:rFonts w:ascii="Arial" w:hAnsi="Arial" w:cs="Arial"/>
              </w:rPr>
              <w:t xml:space="preserve">alongside bins was ignored, this excess waste collected has added to our kilograms per home </w:t>
            </w:r>
            <w:r w:rsidR="0017434E">
              <w:rPr>
                <w:rFonts w:ascii="Arial" w:hAnsi="Arial" w:cs="Arial"/>
              </w:rPr>
              <w:t>figure</w:t>
            </w:r>
            <w:r w:rsidRPr="008312A9">
              <w:rPr>
                <w:rFonts w:ascii="Arial" w:hAnsi="Arial" w:cs="Arial"/>
              </w:rPr>
              <w:t>.</w:t>
            </w:r>
          </w:p>
        </w:tc>
      </w:tr>
      <w:tr w:rsidR="0025355D" w:rsidRPr="002E7893" w14:paraId="3177B592" w14:textId="77777777" w:rsidTr="00BE54CD">
        <w:trPr>
          <w:trHeight w:val="923"/>
        </w:trPr>
        <w:tc>
          <w:tcPr>
            <w:tcW w:w="3936" w:type="dxa"/>
            <w:vAlign w:val="center"/>
          </w:tcPr>
          <w:p w14:paraId="7452897F" w14:textId="26D51C49" w:rsidR="0025355D" w:rsidRPr="00E61E12" w:rsidRDefault="0025355D" w:rsidP="0025355D">
            <w:pPr>
              <w:rPr>
                <w:rFonts w:ascii="Arial" w:hAnsi="Arial" w:cs="Arial"/>
                <w:highlight w:val="lightGray"/>
              </w:rPr>
            </w:pPr>
            <w:r>
              <w:rPr>
                <w:rFonts w:ascii="Arial" w:hAnsi="Arial" w:cs="Arial"/>
              </w:rPr>
              <w:t>% of bins collected on scheduled collection day</w:t>
            </w:r>
          </w:p>
        </w:tc>
        <w:tc>
          <w:tcPr>
            <w:tcW w:w="1067" w:type="dxa"/>
            <w:vAlign w:val="center"/>
          </w:tcPr>
          <w:p w14:paraId="1D71CA1F" w14:textId="270D1756" w:rsidR="0025355D" w:rsidRPr="000B6EDB" w:rsidRDefault="0025355D" w:rsidP="0025355D">
            <w:pPr>
              <w:jc w:val="center"/>
              <w:rPr>
                <w:rFonts w:ascii="Arial" w:hAnsi="Arial" w:cs="Arial"/>
              </w:rPr>
            </w:pPr>
            <w:r>
              <w:rPr>
                <w:rFonts w:ascii="Arial" w:hAnsi="Arial" w:cs="Arial"/>
              </w:rPr>
              <w:t>New</w:t>
            </w:r>
          </w:p>
        </w:tc>
        <w:tc>
          <w:tcPr>
            <w:tcW w:w="963" w:type="dxa"/>
            <w:shd w:val="clear" w:color="auto" w:fill="FFC000"/>
            <w:vAlign w:val="center"/>
          </w:tcPr>
          <w:p w14:paraId="3545425A" w14:textId="166B9079" w:rsidR="0025355D" w:rsidRPr="009B55FC" w:rsidRDefault="0025355D" w:rsidP="0025355D">
            <w:pPr>
              <w:jc w:val="center"/>
              <w:rPr>
                <w:rFonts w:ascii="Arial" w:hAnsi="Arial" w:cs="Arial"/>
              </w:rPr>
            </w:pPr>
            <w:r w:rsidRPr="009B55FC">
              <w:rPr>
                <w:rFonts w:ascii="Arial" w:hAnsi="Arial" w:cs="Arial"/>
              </w:rPr>
              <w:t>99.90%</w:t>
            </w:r>
          </w:p>
        </w:tc>
        <w:tc>
          <w:tcPr>
            <w:tcW w:w="1085" w:type="dxa"/>
            <w:shd w:val="clear" w:color="auto" w:fill="FFC000"/>
            <w:vAlign w:val="center"/>
          </w:tcPr>
          <w:p w14:paraId="60EBB7F8" w14:textId="77777777" w:rsidR="0025355D" w:rsidRPr="009B55FC" w:rsidRDefault="0025355D" w:rsidP="0025355D">
            <w:pPr>
              <w:jc w:val="center"/>
              <w:rPr>
                <w:rFonts w:ascii="Arial" w:hAnsi="Arial" w:cs="Arial"/>
              </w:rPr>
            </w:pPr>
            <w:r w:rsidRPr="009B55FC">
              <w:rPr>
                <w:rFonts w:ascii="Arial" w:hAnsi="Arial" w:cs="Arial"/>
              </w:rPr>
              <w:t>99.91%</w:t>
            </w:r>
          </w:p>
        </w:tc>
        <w:tc>
          <w:tcPr>
            <w:tcW w:w="936" w:type="dxa"/>
            <w:vAlign w:val="center"/>
          </w:tcPr>
          <w:p w14:paraId="59DD37E2" w14:textId="73939113" w:rsidR="0025355D" w:rsidRDefault="0025355D" w:rsidP="0025355D">
            <w:pPr>
              <w:jc w:val="center"/>
              <w:rPr>
                <w:rFonts w:ascii="Arial" w:hAnsi="Arial" w:cs="Arial"/>
              </w:rPr>
            </w:pPr>
            <w:r w:rsidRPr="00E14EFF">
              <w:rPr>
                <w:rFonts w:ascii="Wingdings 3" w:eastAsia="Wingdings 3" w:hAnsi="Wingdings 3" w:cs="Wingdings 3"/>
                <w:sz w:val="32"/>
                <w:szCs w:val="21"/>
              </w:rPr>
              <w:t></w:t>
            </w:r>
          </w:p>
        </w:tc>
        <w:tc>
          <w:tcPr>
            <w:tcW w:w="1133" w:type="dxa"/>
            <w:vAlign w:val="center"/>
          </w:tcPr>
          <w:p w14:paraId="16B5BD95" w14:textId="4E7D8C65" w:rsidR="0025355D" w:rsidRDefault="009B55FC" w:rsidP="0025355D">
            <w:pPr>
              <w:jc w:val="center"/>
              <w:rPr>
                <w:rFonts w:ascii="Arial" w:hAnsi="Arial" w:cs="Arial"/>
              </w:rPr>
            </w:pPr>
            <w:r>
              <w:rPr>
                <w:rFonts w:ascii="Arial" w:hAnsi="Arial" w:cs="Arial"/>
              </w:rPr>
              <w:t>99.92%</w:t>
            </w:r>
          </w:p>
        </w:tc>
        <w:tc>
          <w:tcPr>
            <w:tcW w:w="6326" w:type="dxa"/>
            <w:vAlign w:val="center"/>
          </w:tcPr>
          <w:p w14:paraId="5536C6DB" w14:textId="678B074F" w:rsidR="0025355D" w:rsidRPr="00E01010" w:rsidRDefault="005A0669" w:rsidP="009B55FC">
            <w:pPr>
              <w:rPr>
                <w:rFonts w:ascii="Arial" w:hAnsi="Arial" w:cs="Arial"/>
                <w:highlight w:val="yellow"/>
              </w:rPr>
            </w:pPr>
            <w:r w:rsidRPr="009B55FC">
              <w:rPr>
                <w:rFonts w:ascii="Arial" w:hAnsi="Arial" w:cs="Arial"/>
              </w:rPr>
              <w:t>The collection rate has improved slightly between Q1 and Q2</w:t>
            </w:r>
            <w:r w:rsidR="009B55FC">
              <w:rPr>
                <w:rFonts w:ascii="Arial" w:hAnsi="Arial" w:cs="Arial"/>
              </w:rPr>
              <w:t xml:space="preserve"> and is only very slightly off target.</w:t>
            </w:r>
          </w:p>
        </w:tc>
      </w:tr>
    </w:tbl>
    <w:p w14:paraId="59E1247D" w14:textId="77777777" w:rsidR="004909F0" w:rsidRDefault="004909F0" w:rsidP="004909F0"/>
    <w:p w14:paraId="670EAC98" w14:textId="6CEE8D75" w:rsidR="004909F0" w:rsidRDefault="004909F0" w:rsidP="004909F0">
      <w:pPr>
        <w:rPr>
          <w:rFonts w:ascii="Arial" w:hAnsi="Arial" w:cs="Arial"/>
          <w:bCs/>
          <w:sz w:val="24"/>
          <w:szCs w:val="24"/>
        </w:rPr>
      </w:pPr>
    </w:p>
    <w:p w14:paraId="16B5AA38" w14:textId="77777777" w:rsidR="004909F0" w:rsidRDefault="004909F0" w:rsidP="004909F0">
      <w:pPr>
        <w:rPr>
          <w:rFonts w:ascii="Arial" w:hAnsi="Arial" w:cs="Arial"/>
          <w:sz w:val="24"/>
        </w:rPr>
      </w:pPr>
    </w:p>
    <w:p w14:paraId="11323C83" w14:textId="77777777" w:rsidR="00825A0A" w:rsidRPr="0057059A" w:rsidRDefault="00C564E3" w:rsidP="0057059A">
      <w:pPr>
        <w:pStyle w:val="Heading1"/>
        <w:spacing w:after="160"/>
        <w:jc w:val="left"/>
        <w:rPr>
          <w:b/>
          <w:i w:val="0"/>
          <w:sz w:val="56"/>
          <w:szCs w:val="56"/>
        </w:rPr>
      </w:pPr>
      <w:r>
        <w:br w:type="page"/>
      </w:r>
      <w:r w:rsidR="00825A0A" w:rsidRPr="0057059A">
        <w:rPr>
          <w:b/>
          <w:i w:val="0"/>
          <w:color w:val="CF7CA4"/>
          <w:sz w:val="56"/>
          <w:szCs w:val="56"/>
        </w:rPr>
        <w:lastRenderedPageBreak/>
        <w:t xml:space="preserve">Invest to grow </w:t>
      </w:r>
    </w:p>
    <w:p w14:paraId="1E378EB2" w14:textId="77777777" w:rsidR="00825A0A" w:rsidRDefault="00825A0A" w:rsidP="00825A0A">
      <w:pPr>
        <w:tabs>
          <w:tab w:val="left" w:pos="1134"/>
        </w:tabs>
        <w:rPr>
          <w:rFonts w:ascii="Arial" w:hAnsi="Arial" w:cs="Arial"/>
          <w:bCs/>
          <w:sz w:val="24"/>
          <w:szCs w:val="26"/>
        </w:rPr>
      </w:pPr>
      <w:r w:rsidRPr="003A3380">
        <w:rPr>
          <w:rFonts w:ascii="Arial" w:hAnsi="Arial" w:cs="Arial"/>
          <w:b/>
          <w:bCs/>
          <w:sz w:val="28"/>
          <w:szCs w:val="20"/>
        </w:rPr>
        <w:t xml:space="preserve">Our objectives:  </w:t>
      </w:r>
      <w:r w:rsidRPr="00103089">
        <w:rPr>
          <w:rFonts w:ascii="Arial" w:hAnsi="Arial" w:cs="Arial"/>
          <w:bCs/>
          <w:sz w:val="24"/>
          <w:szCs w:val="26"/>
        </w:rPr>
        <w:t>Use our asset portfolio to create new or different opportunitie</w:t>
      </w:r>
      <w:r>
        <w:rPr>
          <w:rFonts w:ascii="Arial" w:hAnsi="Arial" w:cs="Arial"/>
          <w:bCs/>
          <w:sz w:val="24"/>
          <w:szCs w:val="26"/>
        </w:rPr>
        <w:t xml:space="preserve">s  </w:t>
      </w:r>
      <w:r>
        <w:rPr>
          <w:rFonts w:ascii="Symbol" w:eastAsia="Symbol" w:hAnsi="Symbol" w:cs="Symbol"/>
          <w:bCs/>
          <w:sz w:val="24"/>
          <w:szCs w:val="26"/>
        </w:rPr>
        <w:t></w:t>
      </w:r>
      <w:r>
        <w:rPr>
          <w:rFonts w:ascii="Arial" w:hAnsi="Arial" w:cs="Arial"/>
          <w:bCs/>
          <w:sz w:val="24"/>
          <w:szCs w:val="26"/>
        </w:rPr>
        <w:t xml:space="preserve">  </w:t>
      </w:r>
      <w:r w:rsidRPr="00103089">
        <w:rPr>
          <w:rFonts w:ascii="Arial" w:hAnsi="Arial" w:cs="Arial"/>
          <w:bCs/>
          <w:sz w:val="24"/>
          <w:szCs w:val="26"/>
        </w:rPr>
        <w:t>Work with partners on key economic sites and opportunities</w:t>
      </w:r>
      <w:r>
        <w:rPr>
          <w:rFonts w:ascii="Arial" w:hAnsi="Arial" w:cs="Arial"/>
          <w:bCs/>
          <w:sz w:val="24"/>
          <w:szCs w:val="26"/>
        </w:rPr>
        <w:t xml:space="preserve">  </w:t>
      </w:r>
      <w:r>
        <w:rPr>
          <w:rFonts w:ascii="Symbol" w:eastAsia="Symbol" w:hAnsi="Symbol" w:cs="Symbol"/>
          <w:bCs/>
          <w:sz w:val="24"/>
          <w:szCs w:val="26"/>
        </w:rPr>
        <w:t></w:t>
      </w:r>
      <w:r>
        <w:rPr>
          <w:rFonts w:ascii="Arial" w:hAnsi="Arial" w:cs="Arial"/>
          <w:bCs/>
          <w:sz w:val="24"/>
          <w:szCs w:val="26"/>
        </w:rPr>
        <w:t xml:space="preserve">  </w:t>
      </w:r>
      <w:r w:rsidRPr="00103089">
        <w:rPr>
          <w:rFonts w:ascii="Arial" w:hAnsi="Arial" w:cs="Arial"/>
          <w:bCs/>
          <w:sz w:val="24"/>
          <w:szCs w:val="26"/>
        </w:rPr>
        <w:t>Utilise the Allerdale Investment Partnership, the Local Enterprise Partnership and Britain’s Energy Coast to stimulate growth</w:t>
      </w:r>
      <w:r>
        <w:rPr>
          <w:rFonts w:ascii="Arial" w:hAnsi="Arial" w:cs="Arial"/>
          <w:bCs/>
          <w:sz w:val="24"/>
          <w:szCs w:val="26"/>
        </w:rPr>
        <w:t xml:space="preserve">   </w:t>
      </w:r>
      <w:r>
        <w:rPr>
          <w:rFonts w:ascii="Symbol" w:eastAsia="Symbol" w:hAnsi="Symbol" w:cs="Symbol"/>
          <w:bCs/>
          <w:sz w:val="24"/>
          <w:szCs w:val="26"/>
        </w:rPr>
        <w:t></w:t>
      </w:r>
      <w:r>
        <w:rPr>
          <w:rFonts w:ascii="Arial" w:hAnsi="Arial" w:cs="Arial"/>
          <w:bCs/>
          <w:sz w:val="24"/>
          <w:szCs w:val="26"/>
        </w:rPr>
        <w:t xml:space="preserve">  </w:t>
      </w:r>
      <w:r w:rsidRPr="00103089">
        <w:rPr>
          <w:rFonts w:ascii="Arial" w:hAnsi="Arial" w:cs="Arial"/>
          <w:bCs/>
          <w:sz w:val="24"/>
          <w:szCs w:val="26"/>
        </w:rPr>
        <w:t>Develop a housing company to provide the right homes in the right places at the right price</w:t>
      </w:r>
      <w:r>
        <w:rPr>
          <w:rFonts w:ascii="Arial" w:hAnsi="Arial" w:cs="Arial"/>
          <w:bCs/>
          <w:sz w:val="24"/>
          <w:szCs w:val="26"/>
        </w:rPr>
        <w:t xml:space="preserve">  </w:t>
      </w:r>
    </w:p>
    <w:tbl>
      <w:tblPr>
        <w:tblStyle w:val="TableGrid"/>
        <w:tblW w:w="15304" w:type="dxa"/>
        <w:tblLook w:val="04A0" w:firstRow="1" w:lastRow="0" w:firstColumn="1" w:lastColumn="0" w:noHBand="0" w:noVBand="1"/>
      </w:tblPr>
      <w:tblGrid>
        <w:gridCol w:w="4378"/>
        <w:gridCol w:w="1417"/>
        <w:gridCol w:w="1559"/>
        <w:gridCol w:w="864"/>
        <w:gridCol w:w="864"/>
        <w:gridCol w:w="6222"/>
      </w:tblGrid>
      <w:tr w:rsidR="00FF5FB5" w:rsidRPr="00BF4D99" w14:paraId="4B761BBF" w14:textId="77777777" w:rsidTr="009A71BD">
        <w:trPr>
          <w:tblHeader/>
        </w:trPr>
        <w:tc>
          <w:tcPr>
            <w:tcW w:w="4378" w:type="dxa"/>
            <w:shd w:val="clear" w:color="auto" w:fill="CF7CA4"/>
          </w:tcPr>
          <w:p w14:paraId="559F2972" w14:textId="33E99BDA" w:rsidR="00FF5FB5" w:rsidRPr="00825A0A" w:rsidRDefault="00FF5FB5" w:rsidP="004909F0">
            <w:pPr>
              <w:rPr>
                <w:rFonts w:ascii="Arial" w:hAnsi="Arial" w:cs="Arial"/>
                <w:b/>
                <w:color w:val="FFFFFF" w:themeColor="background1"/>
              </w:rPr>
            </w:pPr>
            <w:r>
              <w:rPr>
                <w:rFonts w:ascii="Arial" w:hAnsi="Arial" w:cs="Arial"/>
                <w:b/>
                <w:color w:val="4472C4" w:themeColor="accent5"/>
                <w:sz w:val="36"/>
                <w:szCs w:val="24"/>
              </w:rPr>
              <w:t xml:space="preserve"> </w:t>
            </w:r>
            <w:r w:rsidRPr="00825A0A">
              <w:rPr>
                <w:rFonts w:ascii="Arial" w:hAnsi="Arial" w:cs="Arial"/>
                <w:b/>
                <w:color w:val="FFFFFF" w:themeColor="background1"/>
              </w:rPr>
              <w:t>Key projects/activities</w:t>
            </w:r>
          </w:p>
        </w:tc>
        <w:tc>
          <w:tcPr>
            <w:tcW w:w="1417" w:type="dxa"/>
            <w:shd w:val="clear" w:color="auto" w:fill="CF7CA4"/>
          </w:tcPr>
          <w:p w14:paraId="5605CB1C" w14:textId="77777777" w:rsidR="00FF5FB5" w:rsidRPr="00825A0A" w:rsidRDefault="00FF5FB5" w:rsidP="004909F0">
            <w:pPr>
              <w:rPr>
                <w:rFonts w:ascii="Arial" w:hAnsi="Arial" w:cs="Arial"/>
                <w:b/>
                <w:color w:val="FFFFFF" w:themeColor="background1"/>
              </w:rPr>
            </w:pPr>
            <w:r w:rsidRPr="00825A0A">
              <w:rPr>
                <w:rFonts w:ascii="Arial" w:hAnsi="Arial" w:cs="Arial"/>
                <w:b/>
                <w:color w:val="FFFFFF" w:themeColor="background1"/>
              </w:rPr>
              <w:t>Timescales</w:t>
            </w:r>
          </w:p>
        </w:tc>
        <w:tc>
          <w:tcPr>
            <w:tcW w:w="1559" w:type="dxa"/>
            <w:shd w:val="clear" w:color="auto" w:fill="CF7CA4"/>
          </w:tcPr>
          <w:p w14:paraId="374DE310" w14:textId="77777777" w:rsidR="00FF5FB5" w:rsidRPr="00825A0A" w:rsidRDefault="00FF5FB5" w:rsidP="004909F0">
            <w:pPr>
              <w:rPr>
                <w:rFonts w:ascii="Arial" w:hAnsi="Arial" w:cs="Arial"/>
                <w:b/>
                <w:color w:val="FFFFFF" w:themeColor="background1"/>
              </w:rPr>
            </w:pPr>
            <w:r w:rsidRPr="00825A0A">
              <w:rPr>
                <w:rFonts w:ascii="Arial" w:hAnsi="Arial" w:cs="Arial"/>
                <w:b/>
                <w:color w:val="FFFFFF" w:themeColor="background1"/>
              </w:rPr>
              <w:t>Responsible Head of Service</w:t>
            </w:r>
          </w:p>
        </w:tc>
        <w:tc>
          <w:tcPr>
            <w:tcW w:w="864" w:type="dxa"/>
            <w:shd w:val="clear" w:color="auto" w:fill="CF7CA4"/>
          </w:tcPr>
          <w:p w14:paraId="420CBA40" w14:textId="77777777" w:rsidR="00FF5FB5" w:rsidRPr="00825A0A" w:rsidRDefault="00FF5FB5" w:rsidP="004909F0">
            <w:pPr>
              <w:rPr>
                <w:rFonts w:ascii="Arial" w:hAnsi="Arial" w:cs="Arial"/>
                <w:b/>
                <w:color w:val="FFFFFF" w:themeColor="background1"/>
              </w:rPr>
            </w:pPr>
            <w:r w:rsidRPr="00825A0A">
              <w:rPr>
                <w:rFonts w:ascii="Arial" w:hAnsi="Arial" w:cs="Arial"/>
                <w:b/>
                <w:color w:val="FFFFFF" w:themeColor="background1"/>
              </w:rPr>
              <w:t>Q1 RAG status</w:t>
            </w:r>
            <w:r w:rsidRPr="00825A0A">
              <w:rPr>
                <w:rFonts w:ascii="Arial" w:hAnsi="Arial" w:cs="Arial"/>
                <w:b/>
                <w:color w:val="FFFFFF" w:themeColor="background1"/>
              </w:rPr>
              <w:tab/>
            </w:r>
          </w:p>
        </w:tc>
        <w:tc>
          <w:tcPr>
            <w:tcW w:w="864" w:type="dxa"/>
            <w:tcBorders>
              <w:bottom w:val="single" w:sz="4" w:space="0" w:color="auto"/>
            </w:tcBorders>
            <w:shd w:val="clear" w:color="auto" w:fill="CF7CA4"/>
          </w:tcPr>
          <w:p w14:paraId="7CF69AE3" w14:textId="5D8FD623" w:rsidR="00FF5FB5" w:rsidRPr="00825A0A" w:rsidRDefault="00FF5FB5" w:rsidP="004909F0">
            <w:pPr>
              <w:rPr>
                <w:rFonts w:ascii="Arial" w:hAnsi="Arial" w:cs="Arial"/>
                <w:b/>
                <w:color w:val="FFFFFF" w:themeColor="background1"/>
              </w:rPr>
            </w:pPr>
            <w:r>
              <w:rPr>
                <w:rFonts w:ascii="Arial" w:hAnsi="Arial" w:cs="Arial"/>
                <w:b/>
                <w:color w:val="FFFFFF" w:themeColor="background1"/>
              </w:rPr>
              <w:t xml:space="preserve">Q2 </w:t>
            </w:r>
            <w:r w:rsidRPr="00825A0A">
              <w:rPr>
                <w:rFonts w:ascii="Arial" w:hAnsi="Arial" w:cs="Arial"/>
                <w:b/>
                <w:color w:val="FFFFFF" w:themeColor="background1"/>
              </w:rPr>
              <w:t>RAG status</w:t>
            </w:r>
          </w:p>
        </w:tc>
        <w:tc>
          <w:tcPr>
            <w:tcW w:w="6222" w:type="dxa"/>
            <w:tcBorders>
              <w:bottom w:val="single" w:sz="4" w:space="0" w:color="auto"/>
            </w:tcBorders>
            <w:shd w:val="clear" w:color="auto" w:fill="CF7CA4"/>
          </w:tcPr>
          <w:p w14:paraId="7D51F021" w14:textId="09335BFD" w:rsidR="00FF5FB5" w:rsidRPr="00825A0A" w:rsidRDefault="00610C11" w:rsidP="00610C11">
            <w:pPr>
              <w:rPr>
                <w:rFonts w:ascii="Arial" w:hAnsi="Arial" w:cs="Arial"/>
                <w:b/>
                <w:color w:val="FFFFFF" w:themeColor="background1"/>
              </w:rPr>
            </w:pPr>
            <w:r>
              <w:rPr>
                <w:rFonts w:ascii="Arial" w:hAnsi="Arial" w:cs="Arial"/>
                <w:b/>
                <w:color w:val="FFFFFF" w:themeColor="background1"/>
              </w:rPr>
              <w:t>C</w:t>
            </w:r>
            <w:r w:rsidR="00FF5FB5" w:rsidRPr="00825A0A">
              <w:rPr>
                <w:rFonts w:ascii="Arial" w:hAnsi="Arial" w:cs="Arial"/>
                <w:b/>
                <w:color w:val="FFFFFF" w:themeColor="background1"/>
              </w:rPr>
              <w:t>ommentary (and management action where red/amber)</w:t>
            </w:r>
          </w:p>
        </w:tc>
      </w:tr>
      <w:tr w:rsidR="009A71BD" w14:paraId="4506E4A7" w14:textId="77777777" w:rsidTr="009A71BD">
        <w:trPr>
          <w:trHeight w:val="938"/>
        </w:trPr>
        <w:tc>
          <w:tcPr>
            <w:tcW w:w="4378" w:type="dxa"/>
            <w:vAlign w:val="center"/>
          </w:tcPr>
          <w:p w14:paraId="0D134EAC" w14:textId="5C836CB2" w:rsidR="009A71BD" w:rsidRPr="00733F7B" w:rsidRDefault="009A71BD" w:rsidP="009A71BD">
            <w:pPr>
              <w:rPr>
                <w:rFonts w:ascii="Arial" w:eastAsia="Times New Roman" w:hAnsi="Arial" w:cs="Arial"/>
                <w:color w:val="000000"/>
                <w:lang w:eastAsia="en-GB"/>
              </w:rPr>
            </w:pPr>
            <w:r w:rsidRPr="00141E4C">
              <w:rPr>
                <w:rFonts w:ascii="Arial" w:hAnsi="Arial" w:cs="Arial"/>
                <w:b/>
                <w:szCs w:val="24"/>
              </w:rPr>
              <w:t xml:space="preserve">Develop plans for economic recovery including a new </w:t>
            </w:r>
            <w:r w:rsidRPr="005A76B3">
              <w:rPr>
                <w:rFonts w:ascii="Arial" w:hAnsi="Arial" w:cs="Arial"/>
                <w:b/>
                <w:szCs w:val="24"/>
              </w:rPr>
              <w:t>Economic</w:t>
            </w:r>
            <w:r w:rsidRPr="005A76B3">
              <w:rPr>
                <w:rFonts w:ascii="Arial" w:hAnsi="Arial" w:cs="Arial"/>
                <w:szCs w:val="24"/>
              </w:rPr>
              <w:t xml:space="preserve"> </w:t>
            </w:r>
            <w:r w:rsidRPr="005A76B3">
              <w:rPr>
                <w:rFonts w:ascii="Arial" w:hAnsi="Arial" w:cs="Arial"/>
                <w:b/>
                <w:szCs w:val="24"/>
              </w:rPr>
              <w:t>Growth Strategy for</w:t>
            </w:r>
            <w:r w:rsidRPr="00141E4C">
              <w:rPr>
                <w:rFonts w:ascii="Arial" w:hAnsi="Arial" w:cs="Arial"/>
                <w:b/>
                <w:szCs w:val="24"/>
              </w:rPr>
              <w:t xml:space="preserve"> Allerdale</w:t>
            </w:r>
            <w:r w:rsidRPr="00141E4C">
              <w:rPr>
                <w:rFonts w:ascii="Arial" w:hAnsi="Arial" w:cs="Arial"/>
                <w:szCs w:val="24"/>
              </w:rPr>
              <w:t xml:space="preserve"> to guide economic development activity to </w:t>
            </w:r>
            <w:r>
              <w:rPr>
                <w:rFonts w:ascii="Arial" w:hAnsi="Arial" w:cs="Arial"/>
                <w:szCs w:val="24"/>
              </w:rPr>
              <w:t xml:space="preserve">ambitiously </w:t>
            </w:r>
            <w:r w:rsidRPr="00141E4C">
              <w:rPr>
                <w:rFonts w:ascii="Arial" w:hAnsi="Arial" w:cs="Arial"/>
                <w:szCs w:val="24"/>
              </w:rPr>
              <w:t>rethink and rebuild the local economy over the longer term</w:t>
            </w:r>
          </w:p>
        </w:tc>
        <w:tc>
          <w:tcPr>
            <w:tcW w:w="1417" w:type="dxa"/>
            <w:vAlign w:val="center"/>
          </w:tcPr>
          <w:p w14:paraId="38EDDF34" w14:textId="77777777" w:rsidR="009A71BD" w:rsidRDefault="009A71BD" w:rsidP="009A71BD">
            <w:pPr>
              <w:rPr>
                <w:rFonts w:ascii="Arial" w:hAnsi="Arial" w:cs="Arial"/>
                <w:szCs w:val="24"/>
              </w:rPr>
            </w:pPr>
          </w:p>
          <w:p w14:paraId="38BDDF9F" w14:textId="18988F02" w:rsidR="009A71BD" w:rsidRPr="00733F7B" w:rsidRDefault="009A71BD" w:rsidP="009A71BD">
            <w:pPr>
              <w:rPr>
                <w:rFonts w:ascii="Arial" w:hAnsi="Arial" w:cs="Arial"/>
              </w:rPr>
            </w:pPr>
            <w:r w:rsidRPr="002342B2">
              <w:rPr>
                <w:rFonts w:ascii="Arial" w:hAnsi="Arial" w:cs="Arial"/>
                <w:szCs w:val="24"/>
              </w:rPr>
              <w:t xml:space="preserve">by </w:t>
            </w:r>
            <w:r>
              <w:rPr>
                <w:rFonts w:ascii="Arial" w:hAnsi="Arial" w:cs="Arial"/>
                <w:szCs w:val="24"/>
              </w:rPr>
              <w:t xml:space="preserve">Oct </w:t>
            </w:r>
            <w:r w:rsidRPr="002342B2">
              <w:rPr>
                <w:rFonts w:ascii="Arial" w:hAnsi="Arial" w:cs="Arial"/>
                <w:szCs w:val="24"/>
              </w:rPr>
              <w:t>20</w:t>
            </w:r>
            <w:r>
              <w:rPr>
                <w:rFonts w:ascii="Arial" w:hAnsi="Arial" w:cs="Arial"/>
                <w:szCs w:val="24"/>
              </w:rPr>
              <w:t>20</w:t>
            </w:r>
          </w:p>
        </w:tc>
        <w:tc>
          <w:tcPr>
            <w:tcW w:w="1559" w:type="dxa"/>
            <w:vAlign w:val="center"/>
          </w:tcPr>
          <w:p w14:paraId="6738A702" w14:textId="2FB2ED49" w:rsidR="009A71BD" w:rsidRDefault="009A71BD" w:rsidP="009A71BD">
            <w:pPr>
              <w:rPr>
                <w:rFonts w:ascii="Arial" w:hAnsi="Arial" w:cs="Arial"/>
              </w:rPr>
            </w:pPr>
            <w:r>
              <w:rPr>
                <w:rFonts w:ascii="Arial" w:hAnsi="Arial" w:cs="Arial"/>
                <w:szCs w:val="24"/>
              </w:rPr>
              <w:t>Strategy, Policy and Performance</w:t>
            </w:r>
          </w:p>
        </w:tc>
        <w:tc>
          <w:tcPr>
            <w:tcW w:w="864" w:type="dxa"/>
            <w:tcBorders>
              <w:top w:val="single" w:sz="4" w:space="0" w:color="auto"/>
              <w:left w:val="single" w:sz="4" w:space="0" w:color="auto"/>
              <w:bottom w:val="single" w:sz="4" w:space="0" w:color="auto"/>
              <w:right w:val="single" w:sz="4" w:space="0" w:color="auto"/>
            </w:tcBorders>
            <w:shd w:val="clear" w:color="000000" w:fill="92D050"/>
            <w:vAlign w:val="center"/>
          </w:tcPr>
          <w:p w14:paraId="036BE62D" w14:textId="3B00AE5F" w:rsidR="009A71BD" w:rsidRDefault="009A71BD" w:rsidP="009A71BD">
            <w:pPr>
              <w:jc w:val="center"/>
              <w:rPr>
                <w:rFonts w:ascii="Arial" w:hAnsi="Arial" w:cs="Arial"/>
              </w:rPr>
            </w:pPr>
            <w:r>
              <w:rPr>
                <w:rFonts w:ascii="Arial" w:hAnsi="Arial" w:cs="Arial"/>
              </w:rPr>
              <w:t>G</w:t>
            </w:r>
          </w:p>
        </w:tc>
        <w:tc>
          <w:tcPr>
            <w:tcW w:w="864" w:type="dxa"/>
            <w:tcBorders>
              <w:top w:val="single" w:sz="4" w:space="0" w:color="auto"/>
              <w:left w:val="single" w:sz="4" w:space="0" w:color="auto"/>
              <w:bottom w:val="single" w:sz="4" w:space="0" w:color="auto"/>
              <w:right w:val="single" w:sz="4" w:space="0" w:color="auto"/>
            </w:tcBorders>
            <w:shd w:val="clear" w:color="000000" w:fill="FFC000"/>
            <w:vAlign w:val="center"/>
          </w:tcPr>
          <w:p w14:paraId="494CA068" w14:textId="7A00BDA2" w:rsidR="009A71BD" w:rsidRDefault="009A71BD" w:rsidP="009A71BD">
            <w:pPr>
              <w:jc w:val="center"/>
              <w:rPr>
                <w:rFonts w:ascii="Arial" w:hAnsi="Arial" w:cs="Arial"/>
              </w:rPr>
            </w:pPr>
            <w:r>
              <w:rPr>
                <w:rFonts w:ascii="Arial" w:hAnsi="Arial" w:cs="Arial"/>
              </w:rPr>
              <w:t>A</w:t>
            </w:r>
          </w:p>
        </w:tc>
        <w:tc>
          <w:tcPr>
            <w:tcW w:w="6222" w:type="dxa"/>
            <w:tcBorders>
              <w:top w:val="single" w:sz="4" w:space="0" w:color="auto"/>
              <w:left w:val="nil"/>
              <w:bottom w:val="single" w:sz="4" w:space="0" w:color="auto"/>
              <w:right w:val="single" w:sz="4" w:space="0" w:color="auto"/>
            </w:tcBorders>
            <w:shd w:val="clear" w:color="auto" w:fill="auto"/>
            <w:vAlign w:val="center"/>
          </w:tcPr>
          <w:p w14:paraId="5D69F5C8" w14:textId="0BD26CBB" w:rsidR="009A71BD" w:rsidRDefault="009A71BD" w:rsidP="009A71BD">
            <w:pPr>
              <w:rPr>
                <w:rFonts w:ascii="Arial" w:hAnsi="Arial" w:cs="Arial"/>
              </w:rPr>
            </w:pPr>
            <w:r>
              <w:rPr>
                <w:rFonts w:ascii="Arial" w:hAnsi="Arial" w:cs="Arial"/>
                <w:color w:val="000000"/>
              </w:rPr>
              <w:t>There has been a requirement to undertake some additional activity to further the Workington Town investment Plan in time for submission. This has meant that some timescales on the economic strategy have slipped and further discussions about resources will need to take place. Regular meetings are taking place with the consultant team.</w:t>
            </w:r>
          </w:p>
        </w:tc>
      </w:tr>
      <w:tr w:rsidR="009A71BD" w14:paraId="12262CEA" w14:textId="77777777" w:rsidTr="009A71BD">
        <w:trPr>
          <w:trHeight w:val="1901"/>
        </w:trPr>
        <w:tc>
          <w:tcPr>
            <w:tcW w:w="4378" w:type="dxa"/>
            <w:vAlign w:val="center"/>
          </w:tcPr>
          <w:p w14:paraId="347EC332" w14:textId="7E45CDC7" w:rsidR="009A71BD" w:rsidRPr="00215E6B" w:rsidRDefault="009A71BD" w:rsidP="009A71BD">
            <w:pPr>
              <w:rPr>
                <w:rFonts w:ascii="Arial" w:eastAsia="Times New Roman" w:hAnsi="Arial" w:cs="Arial"/>
                <w:color w:val="000000"/>
                <w:highlight w:val="lightGray"/>
                <w:lang w:eastAsia="en-GB"/>
              </w:rPr>
            </w:pPr>
            <w:r w:rsidRPr="00141E4C">
              <w:rPr>
                <w:rFonts w:ascii="Arial" w:hAnsi="Arial" w:cs="Arial"/>
                <w:b/>
                <w:szCs w:val="24"/>
              </w:rPr>
              <w:t>Deliver the national programmes of support grants to small businesses</w:t>
            </w:r>
            <w:r>
              <w:rPr>
                <w:rFonts w:ascii="Arial" w:hAnsi="Arial" w:cs="Arial"/>
                <w:szCs w:val="24"/>
              </w:rPr>
              <w:t xml:space="preserve">, including developing and delivering </w:t>
            </w:r>
            <w:r w:rsidRPr="009C102B">
              <w:rPr>
                <w:rFonts w:ascii="Arial" w:hAnsi="Arial" w:cs="Arial"/>
                <w:szCs w:val="24"/>
              </w:rPr>
              <w:t>any discr</w:t>
            </w:r>
            <w:r>
              <w:rPr>
                <w:rFonts w:ascii="Arial" w:hAnsi="Arial" w:cs="Arial"/>
                <w:szCs w:val="24"/>
              </w:rPr>
              <w:t xml:space="preserve">etionary schemes to support local businesses </w:t>
            </w:r>
          </w:p>
        </w:tc>
        <w:tc>
          <w:tcPr>
            <w:tcW w:w="1417" w:type="dxa"/>
            <w:vAlign w:val="center"/>
          </w:tcPr>
          <w:p w14:paraId="7E13178C" w14:textId="56F43757" w:rsidR="009A71BD" w:rsidRPr="00971DF5" w:rsidRDefault="009A71BD" w:rsidP="009A71BD">
            <w:pPr>
              <w:rPr>
                <w:rFonts w:ascii="Arial" w:hAnsi="Arial" w:cs="Arial"/>
              </w:rPr>
            </w:pPr>
            <w:r>
              <w:rPr>
                <w:rFonts w:ascii="Arial" w:hAnsi="Arial" w:cs="Arial"/>
                <w:szCs w:val="24"/>
              </w:rPr>
              <w:t>from April 2020</w:t>
            </w:r>
          </w:p>
        </w:tc>
        <w:tc>
          <w:tcPr>
            <w:tcW w:w="1559" w:type="dxa"/>
            <w:vAlign w:val="center"/>
          </w:tcPr>
          <w:p w14:paraId="3D7B5384" w14:textId="71FBDBBF" w:rsidR="009A71BD" w:rsidRPr="00971DF5" w:rsidRDefault="009A71BD" w:rsidP="009A71BD">
            <w:pPr>
              <w:rPr>
                <w:rFonts w:ascii="Arial" w:hAnsi="Arial" w:cs="Arial"/>
              </w:rPr>
            </w:pPr>
            <w:r>
              <w:rPr>
                <w:rFonts w:ascii="Arial" w:hAnsi="Arial" w:cs="Arial"/>
                <w:szCs w:val="24"/>
              </w:rPr>
              <w:t>Customer Operations</w:t>
            </w:r>
          </w:p>
        </w:tc>
        <w:tc>
          <w:tcPr>
            <w:tcW w:w="864" w:type="dxa"/>
            <w:tcBorders>
              <w:top w:val="single" w:sz="4" w:space="0" w:color="auto"/>
              <w:left w:val="single" w:sz="4" w:space="0" w:color="auto"/>
              <w:bottom w:val="single" w:sz="4" w:space="0" w:color="auto"/>
              <w:right w:val="single" w:sz="4" w:space="0" w:color="auto"/>
            </w:tcBorders>
            <w:shd w:val="clear" w:color="000000" w:fill="92D050"/>
            <w:vAlign w:val="center"/>
          </w:tcPr>
          <w:p w14:paraId="3F3FB9F5" w14:textId="1FA9C511" w:rsidR="009A71BD" w:rsidRDefault="009A71BD" w:rsidP="009A71BD">
            <w:pPr>
              <w:jc w:val="center"/>
              <w:rPr>
                <w:rFonts w:ascii="Arial" w:hAnsi="Arial" w:cs="Arial"/>
              </w:rPr>
            </w:pPr>
            <w:r>
              <w:rPr>
                <w:rFonts w:ascii="Arial" w:hAnsi="Arial" w:cs="Arial"/>
              </w:rPr>
              <w:t>G</w:t>
            </w:r>
          </w:p>
        </w:tc>
        <w:tc>
          <w:tcPr>
            <w:tcW w:w="864" w:type="dxa"/>
            <w:tcBorders>
              <w:top w:val="single" w:sz="4" w:space="0" w:color="auto"/>
              <w:left w:val="single" w:sz="4" w:space="0" w:color="auto"/>
              <w:bottom w:val="single" w:sz="4" w:space="0" w:color="auto"/>
              <w:right w:val="single" w:sz="4" w:space="0" w:color="auto"/>
            </w:tcBorders>
            <w:shd w:val="clear" w:color="000000" w:fill="92D050"/>
            <w:vAlign w:val="center"/>
          </w:tcPr>
          <w:p w14:paraId="7369FCE4" w14:textId="5832E6FD" w:rsidR="009A71BD" w:rsidRDefault="009A71BD" w:rsidP="009A71BD">
            <w:pPr>
              <w:jc w:val="center"/>
              <w:rPr>
                <w:rFonts w:ascii="Arial" w:hAnsi="Arial" w:cs="Arial"/>
              </w:rPr>
            </w:pPr>
            <w:r>
              <w:rPr>
                <w:rFonts w:ascii="Arial" w:hAnsi="Arial" w:cs="Arial"/>
              </w:rPr>
              <w:t>G</w:t>
            </w:r>
          </w:p>
        </w:tc>
        <w:tc>
          <w:tcPr>
            <w:tcW w:w="6222" w:type="dxa"/>
            <w:tcBorders>
              <w:top w:val="nil"/>
              <w:left w:val="nil"/>
              <w:bottom w:val="single" w:sz="4" w:space="0" w:color="auto"/>
              <w:right w:val="single" w:sz="4" w:space="0" w:color="auto"/>
            </w:tcBorders>
            <w:shd w:val="clear" w:color="auto" w:fill="auto"/>
            <w:vAlign w:val="center"/>
          </w:tcPr>
          <w:p w14:paraId="0ACDBF07" w14:textId="2E553562" w:rsidR="009A71BD" w:rsidRDefault="009A71BD" w:rsidP="009A71BD">
            <w:pPr>
              <w:rPr>
                <w:rFonts w:ascii="Arial" w:hAnsi="Arial" w:cs="Arial"/>
              </w:rPr>
            </w:pPr>
            <w:r>
              <w:rPr>
                <w:rFonts w:ascii="Arial" w:hAnsi="Arial" w:cs="Arial"/>
                <w:color w:val="000000"/>
              </w:rPr>
              <w:t xml:space="preserve">As per government instructions the Small Business, Retail </w:t>
            </w:r>
            <w:r w:rsidR="00950837">
              <w:rPr>
                <w:rFonts w:ascii="Arial" w:hAnsi="Arial" w:cs="Arial"/>
                <w:color w:val="000000"/>
              </w:rPr>
              <w:t>Hospitality</w:t>
            </w:r>
            <w:r>
              <w:rPr>
                <w:rFonts w:ascii="Arial" w:hAnsi="Arial" w:cs="Arial"/>
                <w:color w:val="000000"/>
              </w:rPr>
              <w:t xml:space="preserve"> and Leisure, and Local Authority Discretionary Grant Funds for businesses closed to </w:t>
            </w:r>
            <w:r w:rsidR="00950837">
              <w:rPr>
                <w:rFonts w:ascii="Arial" w:hAnsi="Arial" w:cs="Arial"/>
                <w:color w:val="000000"/>
              </w:rPr>
              <w:t>applications</w:t>
            </w:r>
            <w:r>
              <w:rPr>
                <w:rFonts w:ascii="Arial" w:hAnsi="Arial" w:cs="Arial"/>
                <w:color w:val="000000"/>
              </w:rPr>
              <w:t xml:space="preserve"> on 28 August with all payments processed by 30 September.  In total we paid out £36.9m to 3,368 businesses under the SBGF and RHLGF, representing 95% of the allocation from Government.  In addition, the Council helped 236 businesses through the smaller </w:t>
            </w:r>
            <w:r w:rsidR="00950837">
              <w:rPr>
                <w:rFonts w:ascii="Arial" w:hAnsi="Arial" w:cs="Arial"/>
                <w:color w:val="000000"/>
              </w:rPr>
              <w:t>Discretionary</w:t>
            </w:r>
            <w:r>
              <w:rPr>
                <w:rFonts w:ascii="Arial" w:hAnsi="Arial" w:cs="Arial"/>
                <w:color w:val="000000"/>
              </w:rPr>
              <w:t xml:space="preserve"> Business Grants Scheme with grants </w:t>
            </w:r>
            <w:r w:rsidR="00950837">
              <w:rPr>
                <w:rFonts w:ascii="Arial" w:hAnsi="Arial" w:cs="Arial"/>
                <w:color w:val="000000"/>
              </w:rPr>
              <w:t>totalling</w:t>
            </w:r>
            <w:r>
              <w:rPr>
                <w:rFonts w:ascii="Arial" w:hAnsi="Arial" w:cs="Arial"/>
                <w:color w:val="000000"/>
              </w:rPr>
              <w:t xml:space="preserve"> £1.75m, representing 89% of the allocation.  Details of a new local lockdown business grants scheme were released by the government at the end of September.</w:t>
            </w:r>
          </w:p>
        </w:tc>
      </w:tr>
      <w:tr w:rsidR="009A71BD" w14:paraId="124C9820" w14:textId="77777777" w:rsidTr="009A71BD">
        <w:trPr>
          <w:trHeight w:val="951"/>
        </w:trPr>
        <w:tc>
          <w:tcPr>
            <w:tcW w:w="4378" w:type="dxa"/>
            <w:vAlign w:val="center"/>
          </w:tcPr>
          <w:p w14:paraId="5D95B76A" w14:textId="662A11BD" w:rsidR="009A71BD" w:rsidRPr="00E24403" w:rsidRDefault="009A71BD" w:rsidP="009A71BD">
            <w:pPr>
              <w:rPr>
                <w:rFonts w:ascii="Arial" w:eastAsia="Times New Roman" w:hAnsi="Arial" w:cs="Arial"/>
                <w:color w:val="000000"/>
                <w:lang w:eastAsia="en-GB"/>
              </w:rPr>
            </w:pPr>
            <w:r w:rsidRPr="002E528C">
              <w:rPr>
                <w:rFonts w:ascii="Arial" w:hAnsi="Arial" w:cs="Arial"/>
                <w:b/>
              </w:rPr>
              <w:t>Develop the Housing Company</w:t>
            </w:r>
            <w:r w:rsidRPr="3DD413D4">
              <w:rPr>
                <w:rFonts w:ascii="Arial" w:hAnsi="Arial" w:cs="Arial"/>
              </w:rPr>
              <w:t>: existing properties let and converted (7 properties); develop Phase 2 Programme for future years</w:t>
            </w:r>
          </w:p>
        </w:tc>
        <w:tc>
          <w:tcPr>
            <w:tcW w:w="1417" w:type="dxa"/>
            <w:vAlign w:val="center"/>
          </w:tcPr>
          <w:p w14:paraId="76F77A77" w14:textId="77777777" w:rsidR="009A71BD" w:rsidRPr="002342B2" w:rsidRDefault="009A71BD" w:rsidP="009A71BD">
            <w:pPr>
              <w:rPr>
                <w:rFonts w:ascii="Arial" w:hAnsi="Arial" w:cs="Arial"/>
                <w:szCs w:val="24"/>
              </w:rPr>
            </w:pPr>
          </w:p>
          <w:p w14:paraId="0F221C46" w14:textId="77777777" w:rsidR="009A71BD" w:rsidRPr="002342B2" w:rsidRDefault="009A71BD" w:rsidP="009A71BD">
            <w:pPr>
              <w:rPr>
                <w:rFonts w:ascii="Arial" w:hAnsi="Arial" w:cs="Arial"/>
                <w:szCs w:val="24"/>
              </w:rPr>
            </w:pPr>
            <w:r w:rsidRPr="002342B2">
              <w:rPr>
                <w:rFonts w:ascii="Arial" w:hAnsi="Arial" w:cs="Arial"/>
                <w:szCs w:val="24"/>
              </w:rPr>
              <w:t xml:space="preserve">by 2021 </w:t>
            </w:r>
          </w:p>
          <w:p w14:paraId="53AA565E" w14:textId="77777777" w:rsidR="009A71BD" w:rsidRDefault="009A71BD" w:rsidP="009A71BD">
            <w:pPr>
              <w:rPr>
                <w:rFonts w:ascii="Arial" w:hAnsi="Arial" w:cs="Arial"/>
              </w:rPr>
            </w:pPr>
          </w:p>
        </w:tc>
        <w:tc>
          <w:tcPr>
            <w:tcW w:w="1559" w:type="dxa"/>
            <w:vAlign w:val="center"/>
          </w:tcPr>
          <w:p w14:paraId="48C02D76" w14:textId="2AA3526B" w:rsidR="009A71BD" w:rsidRDefault="009A71BD" w:rsidP="009A71BD">
            <w:pPr>
              <w:rPr>
                <w:rFonts w:ascii="Arial" w:hAnsi="Arial" w:cs="Arial"/>
              </w:rPr>
            </w:pPr>
            <w:r w:rsidRPr="002342B2">
              <w:rPr>
                <w:rFonts w:ascii="Arial" w:hAnsi="Arial" w:cs="Arial"/>
                <w:szCs w:val="24"/>
              </w:rPr>
              <w:t>Programme Director (</w:t>
            </w:r>
            <w:r>
              <w:rPr>
                <w:rFonts w:ascii="Arial" w:hAnsi="Arial" w:cs="Arial"/>
                <w:szCs w:val="24"/>
              </w:rPr>
              <w:t>M</w:t>
            </w:r>
            <w:r w:rsidRPr="002342B2">
              <w:rPr>
                <w:rFonts w:ascii="Arial" w:hAnsi="Arial" w:cs="Arial"/>
                <w:szCs w:val="24"/>
              </w:rPr>
              <w:t>aryport)</w:t>
            </w:r>
          </w:p>
        </w:tc>
        <w:tc>
          <w:tcPr>
            <w:tcW w:w="864" w:type="dxa"/>
            <w:tcBorders>
              <w:top w:val="single" w:sz="4" w:space="0" w:color="auto"/>
              <w:left w:val="nil"/>
              <w:bottom w:val="single" w:sz="4" w:space="0" w:color="auto"/>
              <w:right w:val="nil"/>
            </w:tcBorders>
            <w:shd w:val="clear" w:color="000000" w:fill="92D050"/>
            <w:vAlign w:val="center"/>
          </w:tcPr>
          <w:p w14:paraId="0F9CF57E" w14:textId="6421E1AB" w:rsidR="009A71BD" w:rsidRPr="005917A1" w:rsidRDefault="009A71BD" w:rsidP="009A71BD">
            <w:pPr>
              <w:jc w:val="center"/>
              <w:rPr>
                <w:rFonts w:ascii="Arial" w:hAnsi="Arial" w:cs="Arial"/>
              </w:rPr>
            </w:pPr>
            <w:r w:rsidRPr="005917A1">
              <w:rPr>
                <w:rFonts w:ascii="Arial" w:hAnsi="Arial" w:cs="Arial"/>
                <w:bCs/>
              </w:rPr>
              <w:t>G</w:t>
            </w:r>
          </w:p>
        </w:tc>
        <w:tc>
          <w:tcPr>
            <w:tcW w:w="864" w:type="dxa"/>
            <w:tcBorders>
              <w:top w:val="single" w:sz="4" w:space="0" w:color="auto"/>
              <w:left w:val="single" w:sz="4" w:space="0" w:color="auto"/>
              <w:bottom w:val="single" w:sz="4" w:space="0" w:color="auto"/>
              <w:right w:val="single" w:sz="4" w:space="0" w:color="auto"/>
            </w:tcBorders>
            <w:shd w:val="clear" w:color="000000" w:fill="92D050"/>
            <w:vAlign w:val="center"/>
          </w:tcPr>
          <w:p w14:paraId="6605A129" w14:textId="74DAD2B4" w:rsidR="009A71BD" w:rsidRDefault="009A71BD" w:rsidP="009A71BD">
            <w:pPr>
              <w:jc w:val="center"/>
              <w:rPr>
                <w:rFonts w:ascii="Arial" w:hAnsi="Arial" w:cs="Arial"/>
              </w:rPr>
            </w:pPr>
            <w:r>
              <w:rPr>
                <w:rFonts w:ascii="Arial" w:hAnsi="Arial" w:cs="Arial"/>
              </w:rPr>
              <w:t>G</w:t>
            </w:r>
          </w:p>
        </w:tc>
        <w:tc>
          <w:tcPr>
            <w:tcW w:w="6222" w:type="dxa"/>
            <w:tcBorders>
              <w:top w:val="nil"/>
              <w:left w:val="nil"/>
              <w:bottom w:val="single" w:sz="4" w:space="0" w:color="auto"/>
              <w:right w:val="single" w:sz="4" w:space="0" w:color="auto"/>
            </w:tcBorders>
            <w:shd w:val="clear" w:color="auto" w:fill="auto"/>
            <w:vAlign w:val="center"/>
          </w:tcPr>
          <w:p w14:paraId="13828C49" w14:textId="09D227A6" w:rsidR="009A71BD" w:rsidRDefault="009A71BD" w:rsidP="009A71BD">
            <w:pPr>
              <w:rPr>
                <w:rFonts w:ascii="Arial" w:hAnsi="Arial" w:cs="Arial"/>
              </w:rPr>
            </w:pPr>
            <w:r>
              <w:rPr>
                <w:rFonts w:ascii="Arial" w:hAnsi="Arial" w:cs="Arial"/>
                <w:color w:val="000000"/>
              </w:rPr>
              <w:t xml:space="preserve">Work to develop the councils own housing company continues with planning permission for the Otley Road scheme now granted. The project remains on target and will see the unoccupied building converted into 4 x 1 bed units for local occupiers and key workers. Works due to commence in Nov with a completion date of April.   </w:t>
            </w:r>
          </w:p>
        </w:tc>
      </w:tr>
      <w:tr w:rsidR="009A71BD" w14:paraId="0766B660" w14:textId="77777777" w:rsidTr="00B4060E">
        <w:trPr>
          <w:trHeight w:val="637"/>
        </w:trPr>
        <w:tc>
          <w:tcPr>
            <w:tcW w:w="4378" w:type="dxa"/>
            <w:vAlign w:val="center"/>
          </w:tcPr>
          <w:p w14:paraId="3174B3D4" w14:textId="4E7AE365" w:rsidR="009A71BD" w:rsidRDefault="009A71BD" w:rsidP="009A71BD">
            <w:pPr>
              <w:rPr>
                <w:rFonts w:ascii="Arial" w:hAnsi="Arial" w:cs="Arial"/>
                <w:szCs w:val="24"/>
              </w:rPr>
            </w:pPr>
            <w:r>
              <w:rPr>
                <w:rFonts w:ascii="Arial" w:hAnsi="Arial" w:cs="Arial"/>
                <w:b/>
                <w:szCs w:val="24"/>
              </w:rPr>
              <w:lastRenderedPageBreak/>
              <w:t>P</w:t>
            </w:r>
            <w:r w:rsidRPr="002E528C">
              <w:rPr>
                <w:rFonts w:ascii="Arial" w:hAnsi="Arial" w:cs="Arial"/>
                <w:b/>
                <w:szCs w:val="24"/>
              </w:rPr>
              <w:t>rogress investment and regeneration schemes</w:t>
            </w:r>
            <w:r w:rsidRPr="006E193C">
              <w:rPr>
                <w:rFonts w:ascii="Arial" w:hAnsi="Arial" w:cs="Arial"/>
                <w:szCs w:val="24"/>
              </w:rPr>
              <w:t xml:space="preserve"> including</w:t>
            </w:r>
            <w:r>
              <w:rPr>
                <w:rFonts w:ascii="Arial" w:hAnsi="Arial" w:cs="Arial"/>
                <w:szCs w:val="24"/>
              </w:rPr>
              <w:t>:</w:t>
            </w:r>
          </w:p>
          <w:p w14:paraId="7B4473E9" w14:textId="401FDF77" w:rsidR="009A71BD" w:rsidRPr="00825A0A" w:rsidRDefault="009A71BD" w:rsidP="009A71BD">
            <w:pPr>
              <w:spacing w:before="80"/>
              <w:rPr>
                <w:rFonts w:eastAsiaTheme="minorEastAsia"/>
              </w:rPr>
            </w:pPr>
            <w:r w:rsidRPr="00825A0A">
              <w:rPr>
                <w:rFonts w:ascii="Arial" w:hAnsi="Arial" w:cs="Arial"/>
              </w:rPr>
              <w:t>Review viability options for delivery of new business units at Reedlands Road</w:t>
            </w:r>
          </w:p>
        </w:tc>
        <w:tc>
          <w:tcPr>
            <w:tcW w:w="1417" w:type="dxa"/>
            <w:vAlign w:val="center"/>
          </w:tcPr>
          <w:p w14:paraId="22E551CD" w14:textId="6C5FF653" w:rsidR="009A71BD" w:rsidRDefault="00B4060E" w:rsidP="00B4060E">
            <w:pPr>
              <w:spacing w:before="480"/>
              <w:rPr>
                <w:rFonts w:ascii="Arial" w:hAnsi="Arial" w:cs="Arial"/>
                <w:szCs w:val="24"/>
              </w:rPr>
            </w:pPr>
            <w:r>
              <w:rPr>
                <w:rFonts w:ascii="Arial" w:hAnsi="Arial" w:cs="Arial"/>
                <w:szCs w:val="24"/>
              </w:rPr>
              <w:t>by Sept 2020</w:t>
            </w:r>
          </w:p>
          <w:p w14:paraId="0C1FB11A" w14:textId="59BA8B12" w:rsidR="009A71BD" w:rsidRPr="00215E6B" w:rsidRDefault="009A71BD" w:rsidP="00B4060E">
            <w:pPr>
              <w:rPr>
                <w:rFonts w:ascii="Arial" w:hAnsi="Arial" w:cs="Arial"/>
                <w:highlight w:val="lightGray"/>
              </w:rPr>
            </w:pPr>
          </w:p>
        </w:tc>
        <w:tc>
          <w:tcPr>
            <w:tcW w:w="1559" w:type="dxa"/>
            <w:vAlign w:val="center"/>
          </w:tcPr>
          <w:p w14:paraId="36D9E4DF" w14:textId="0F4241FA" w:rsidR="009A71BD" w:rsidRPr="00215E6B" w:rsidRDefault="009A71BD" w:rsidP="009A71BD">
            <w:pPr>
              <w:rPr>
                <w:rFonts w:ascii="Arial" w:hAnsi="Arial" w:cs="Arial"/>
                <w:highlight w:val="lightGray"/>
              </w:rPr>
            </w:pPr>
            <w:r w:rsidRPr="002342B2">
              <w:rPr>
                <w:rFonts w:ascii="Arial" w:hAnsi="Arial" w:cs="Arial"/>
                <w:szCs w:val="24"/>
              </w:rPr>
              <w:t>Programme Director (Workington)</w:t>
            </w:r>
          </w:p>
        </w:tc>
        <w:tc>
          <w:tcPr>
            <w:tcW w:w="864" w:type="dxa"/>
            <w:tcBorders>
              <w:top w:val="single" w:sz="4" w:space="0" w:color="auto"/>
              <w:left w:val="nil"/>
              <w:bottom w:val="single" w:sz="4" w:space="0" w:color="auto"/>
              <w:right w:val="nil"/>
            </w:tcBorders>
            <w:shd w:val="clear" w:color="000000" w:fill="FFC000"/>
            <w:vAlign w:val="center"/>
          </w:tcPr>
          <w:p w14:paraId="602E2237" w14:textId="656B5EDE" w:rsidR="009A71BD" w:rsidRPr="005917A1" w:rsidRDefault="009A71BD" w:rsidP="009A71BD">
            <w:pPr>
              <w:jc w:val="center"/>
              <w:rPr>
                <w:rFonts w:ascii="Arial" w:hAnsi="Arial" w:cs="Arial"/>
              </w:rPr>
            </w:pPr>
            <w:r w:rsidRPr="005917A1">
              <w:rPr>
                <w:rFonts w:ascii="Arial" w:hAnsi="Arial" w:cs="Arial"/>
                <w:bCs/>
              </w:rPr>
              <w:t>A</w:t>
            </w:r>
          </w:p>
        </w:tc>
        <w:tc>
          <w:tcPr>
            <w:tcW w:w="864" w:type="dxa"/>
            <w:tcBorders>
              <w:top w:val="single" w:sz="4" w:space="0" w:color="auto"/>
              <w:left w:val="single" w:sz="4" w:space="0" w:color="auto"/>
              <w:bottom w:val="single" w:sz="4" w:space="0" w:color="auto"/>
              <w:right w:val="single" w:sz="4" w:space="0" w:color="auto"/>
            </w:tcBorders>
            <w:shd w:val="clear" w:color="000000" w:fill="0070C0"/>
            <w:vAlign w:val="center"/>
          </w:tcPr>
          <w:p w14:paraId="5904D37D" w14:textId="0BCBC942" w:rsidR="009A71BD" w:rsidRDefault="009A71BD" w:rsidP="009A71BD">
            <w:pPr>
              <w:jc w:val="center"/>
              <w:rPr>
                <w:rFonts w:ascii="Arial" w:hAnsi="Arial" w:cs="Arial"/>
              </w:rPr>
            </w:pPr>
            <w:r>
              <w:rPr>
                <w:rFonts w:ascii="Arial" w:hAnsi="Arial" w:cs="Arial"/>
              </w:rPr>
              <w:t>B</w:t>
            </w:r>
          </w:p>
        </w:tc>
        <w:tc>
          <w:tcPr>
            <w:tcW w:w="6222" w:type="dxa"/>
            <w:tcBorders>
              <w:top w:val="single" w:sz="4" w:space="0" w:color="auto"/>
              <w:left w:val="nil"/>
              <w:bottom w:val="single" w:sz="4" w:space="0" w:color="auto"/>
              <w:right w:val="single" w:sz="4" w:space="0" w:color="auto"/>
            </w:tcBorders>
            <w:shd w:val="clear" w:color="auto" w:fill="auto"/>
            <w:vAlign w:val="center"/>
          </w:tcPr>
          <w:p w14:paraId="64E384B3" w14:textId="7FF7093F" w:rsidR="009A71BD" w:rsidRDefault="009A71BD" w:rsidP="009A71BD">
            <w:pPr>
              <w:rPr>
                <w:rFonts w:ascii="Arial" w:hAnsi="Arial" w:cs="Arial"/>
              </w:rPr>
            </w:pPr>
            <w:r>
              <w:rPr>
                <w:rFonts w:ascii="Arial" w:hAnsi="Arial" w:cs="Arial"/>
              </w:rPr>
              <w:t>Following ground investigation works underlying mine-workings, buried obstructions and extremely poor ground conditions have been identified on site, and as such forecast project costs have increased significantly. The Programmes and Project Team have undertaken a full options analysis and considered rental income projections against the increase in capital costs.  The significant increase in capital costs means that the project is now forecast to have a net negative impact on the Council's annual revenue budget. Based on the original capital costs the project would have been cost-neutral for the Council. At the Executive meeting on 14 October it was agreed that the</w:t>
            </w:r>
            <w:r w:rsidR="0017434E">
              <w:rPr>
                <w:rFonts w:ascii="Arial" w:hAnsi="Arial" w:cs="Arial"/>
              </w:rPr>
              <w:t xml:space="preserve"> project should be discontinued.</w:t>
            </w:r>
          </w:p>
        </w:tc>
      </w:tr>
      <w:tr w:rsidR="009A71BD" w14:paraId="412AB182" w14:textId="77777777" w:rsidTr="007F4334">
        <w:trPr>
          <w:trHeight w:val="1858"/>
        </w:trPr>
        <w:tc>
          <w:tcPr>
            <w:tcW w:w="4378" w:type="dxa"/>
            <w:vAlign w:val="center"/>
          </w:tcPr>
          <w:p w14:paraId="4781748B" w14:textId="73AA2E4B" w:rsidR="009A71BD" w:rsidRPr="00825A0A" w:rsidRDefault="009A71BD" w:rsidP="009A71BD">
            <w:pPr>
              <w:spacing w:before="80"/>
            </w:pPr>
            <w:r w:rsidRPr="00825A0A">
              <w:rPr>
                <w:rFonts w:ascii="Arial" w:hAnsi="Arial" w:cs="Arial"/>
              </w:rPr>
              <w:t xml:space="preserve">Development of Lillyhall North to provide business accommodation (also a commercial opportunity for the Council) </w:t>
            </w:r>
          </w:p>
        </w:tc>
        <w:tc>
          <w:tcPr>
            <w:tcW w:w="1417" w:type="dxa"/>
            <w:vAlign w:val="center"/>
          </w:tcPr>
          <w:p w14:paraId="3D21FC5C" w14:textId="77777777" w:rsidR="009A71BD" w:rsidRDefault="009A71BD" w:rsidP="009A71BD">
            <w:pPr>
              <w:spacing w:before="200"/>
              <w:rPr>
                <w:rFonts w:ascii="Arial" w:hAnsi="Arial" w:cs="Arial"/>
                <w:szCs w:val="24"/>
              </w:rPr>
            </w:pPr>
            <w:r>
              <w:rPr>
                <w:rFonts w:ascii="Arial" w:hAnsi="Arial" w:cs="Arial"/>
                <w:szCs w:val="24"/>
              </w:rPr>
              <w:t>b</w:t>
            </w:r>
            <w:r w:rsidRPr="002342B2">
              <w:rPr>
                <w:rFonts w:ascii="Arial" w:hAnsi="Arial" w:cs="Arial"/>
                <w:szCs w:val="24"/>
              </w:rPr>
              <w:t>y March 2021</w:t>
            </w:r>
          </w:p>
          <w:p w14:paraId="4C60D615" w14:textId="77777777" w:rsidR="009A71BD" w:rsidRPr="00215E6B" w:rsidRDefault="009A71BD" w:rsidP="009A71BD">
            <w:pPr>
              <w:rPr>
                <w:rFonts w:ascii="Arial" w:hAnsi="Arial" w:cs="Arial"/>
                <w:highlight w:val="lightGray"/>
              </w:rPr>
            </w:pPr>
          </w:p>
        </w:tc>
        <w:tc>
          <w:tcPr>
            <w:tcW w:w="1559" w:type="dxa"/>
            <w:vAlign w:val="center"/>
          </w:tcPr>
          <w:p w14:paraId="3A01B873" w14:textId="1723086D" w:rsidR="009A71BD" w:rsidRPr="00215E6B" w:rsidRDefault="009A71BD" w:rsidP="009A71BD">
            <w:pPr>
              <w:rPr>
                <w:rFonts w:ascii="Arial" w:hAnsi="Arial" w:cs="Arial"/>
                <w:highlight w:val="lightGray"/>
              </w:rPr>
            </w:pPr>
            <w:r w:rsidRPr="002342B2">
              <w:rPr>
                <w:rFonts w:ascii="Arial" w:hAnsi="Arial" w:cs="Arial"/>
                <w:szCs w:val="24"/>
              </w:rPr>
              <w:t>Programme Director (Workington)</w:t>
            </w:r>
          </w:p>
        </w:tc>
        <w:tc>
          <w:tcPr>
            <w:tcW w:w="864" w:type="dxa"/>
            <w:tcBorders>
              <w:top w:val="single" w:sz="4" w:space="0" w:color="auto"/>
              <w:left w:val="single" w:sz="4" w:space="0" w:color="auto"/>
              <w:bottom w:val="single" w:sz="4" w:space="0" w:color="auto"/>
              <w:right w:val="single" w:sz="4" w:space="0" w:color="auto"/>
            </w:tcBorders>
            <w:shd w:val="clear" w:color="000000" w:fill="92D050"/>
            <w:vAlign w:val="center"/>
          </w:tcPr>
          <w:p w14:paraId="6F0DDEEE" w14:textId="341577E3" w:rsidR="009A71BD" w:rsidRDefault="009A71BD" w:rsidP="009A71BD">
            <w:pPr>
              <w:jc w:val="center"/>
              <w:rPr>
                <w:rFonts w:ascii="Arial" w:hAnsi="Arial" w:cs="Arial"/>
              </w:rPr>
            </w:pPr>
            <w:r>
              <w:rPr>
                <w:rFonts w:ascii="Arial" w:hAnsi="Arial" w:cs="Arial"/>
              </w:rPr>
              <w:t>G</w:t>
            </w:r>
          </w:p>
        </w:tc>
        <w:tc>
          <w:tcPr>
            <w:tcW w:w="864" w:type="dxa"/>
            <w:tcBorders>
              <w:top w:val="single" w:sz="4" w:space="0" w:color="auto"/>
              <w:left w:val="single" w:sz="4" w:space="0" w:color="auto"/>
              <w:bottom w:val="single" w:sz="4" w:space="0" w:color="auto"/>
              <w:right w:val="single" w:sz="4" w:space="0" w:color="auto"/>
            </w:tcBorders>
            <w:shd w:val="clear" w:color="000000" w:fill="92D050"/>
            <w:vAlign w:val="center"/>
          </w:tcPr>
          <w:p w14:paraId="37787E09" w14:textId="7F90F67F" w:rsidR="009A71BD" w:rsidRDefault="009A71BD" w:rsidP="009A71BD">
            <w:pPr>
              <w:jc w:val="center"/>
              <w:rPr>
                <w:rFonts w:ascii="Arial" w:hAnsi="Arial" w:cs="Arial"/>
              </w:rPr>
            </w:pPr>
            <w:r>
              <w:rPr>
                <w:rFonts w:ascii="Arial" w:hAnsi="Arial" w:cs="Arial"/>
              </w:rPr>
              <w:t>G</w:t>
            </w:r>
          </w:p>
        </w:tc>
        <w:tc>
          <w:tcPr>
            <w:tcW w:w="6222" w:type="dxa"/>
            <w:tcBorders>
              <w:top w:val="nil"/>
              <w:left w:val="nil"/>
              <w:bottom w:val="single" w:sz="4" w:space="0" w:color="auto"/>
              <w:right w:val="single" w:sz="4" w:space="0" w:color="auto"/>
            </w:tcBorders>
            <w:shd w:val="clear" w:color="auto" w:fill="auto"/>
            <w:vAlign w:val="center"/>
          </w:tcPr>
          <w:p w14:paraId="022E316C" w14:textId="66B2C7DC" w:rsidR="009A71BD" w:rsidRDefault="009A71BD" w:rsidP="009A71BD">
            <w:pPr>
              <w:rPr>
                <w:rFonts w:ascii="Arial" w:hAnsi="Arial" w:cs="Arial"/>
              </w:rPr>
            </w:pPr>
            <w:r>
              <w:rPr>
                <w:rFonts w:ascii="Arial" w:hAnsi="Arial" w:cs="Arial"/>
              </w:rPr>
              <w:t>Cumbria LEP has confirmed a funding award of £1,789,961 Local Growth Fund support to progress the development of enabling infrastructure by March 2021. CLEP has also confirmed an allocation of £5.5m, subject to approval of a Full Business Case, for the development of a vertical farming facility at Lillyhall North. A dedicated project team has been established to co-ordinate the delivery of these projects and a planning application submission for the infrastructure development is anticipated in November.</w:t>
            </w:r>
          </w:p>
        </w:tc>
      </w:tr>
      <w:tr w:rsidR="009A71BD" w14:paraId="1238810C" w14:textId="77777777" w:rsidTr="007F4334">
        <w:trPr>
          <w:trHeight w:val="1897"/>
        </w:trPr>
        <w:tc>
          <w:tcPr>
            <w:tcW w:w="4378" w:type="dxa"/>
            <w:vAlign w:val="center"/>
          </w:tcPr>
          <w:p w14:paraId="2703B5A8" w14:textId="6FB3FB0B" w:rsidR="009A71BD" w:rsidRPr="00825A0A" w:rsidRDefault="009A71BD" w:rsidP="009A71BD">
            <w:pPr>
              <w:spacing w:before="80"/>
              <w:rPr>
                <w:rFonts w:ascii="Arial" w:hAnsi="Arial" w:cs="Arial"/>
              </w:rPr>
            </w:pPr>
            <w:r w:rsidRPr="00825A0A">
              <w:rPr>
                <w:rFonts w:ascii="Arial" w:hAnsi="Arial" w:cs="Arial"/>
              </w:rPr>
              <w:t>Progress discussions around Lower Derwent Valley Regeneration Scheme (including a community sports village)</w:t>
            </w:r>
          </w:p>
        </w:tc>
        <w:tc>
          <w:tcPr>
            <w:tcW w:w="1417" w:type="dxa"/>
            <w:vAlign w:val="center"/>
          </w:tcPr>
          <w:p w14:paraId="763BBA55" w14:textId="77777777" w:rsidR="009A71BD" w:rsidRDefault="009A71BD" w:rsidP="009A71BD">
            <w:pPr>
              <w:rPr>
                <w:rFonts w:ascii="Arial" w:hAnsi="Arial" w:cs="Arial"/>
                <w:szCs w:val="24"/>
              </w:rPr>
            </w:pPr>
            <w:r>
              <w:rPr>
                <w:rFonts w:ascii="Arial" w:hAnsi="Arial" w:cs="Arial"/>
                <w:szCs w:val="24"/>
              </w:rPr>
              <w:t>from June 2020</w:t>
            </w:r>
          </w:p>
          <w:p w14:paraId="545CB643" w14:textId="77777777" w:rsidR="009A71BD" w:rsidRPr="00215E6B" w:rsidRDefault="009A71BD" w:rsidP="009A71BD">
            <w:pPr>
              <w:rPr>
                <w:rFonts w:ascii="Arial" w:hAnsi="Arial" w:cs="Arial"/>
                <w:highlight w:val="lightGray"/>
              </w:rPr>
            </w:pPr>
          </w:p>
        </w:tc>
        <w:tc>
          <w:tcPr>
            <w:tcW w:w="1559" w:type="dxa"/>
            <w:vAlign w:val="center"/>
          </w:tcPr>
          <w:p w14:paraId="03C90614" w14:textId="247EC8D2" w:rsidR="009A71BD" w:rsidRPr="00215E6B" w:rsidRDefault="009A71BD" w:rsidP="009A71BD">
            <w:pPr>
              <w:rPr>
                <w:rFonts w:ascii="Arial" w:hAnsi="Arial" w:cs="Arial"/>
                <w:highlight w:val="lightGray"/>
              </w:rPr>
            </w:pPr>
            <w:r w:rsidRPr="002342B2">
              <w:rPr>
                <w:rFonts w:ascii="Arial" w:hAnsi="Arial" w:cs="Arial"/>
                <w:szCs w:val="24"/>
              </w:rPr>
              <w:t>Programme Director (Workington)</w:t>
            </w:r>
          </w:p>
        </w:tc>
        <w:tc>
          <w:tcPr>
            <w:tcW w:w="864" w:type="dxa"/>
            <w:tcBorders>
              <w:top w:val="single" w:sz="4" w:space="0" w:color="auto"/>
              <w:left w:val="single" w:sz="4" w:space="0" w:color="auto"/>
              <w:bottom w:val="single" w:sz="4" w:space="0" w:color="auto"/>
              <w:right w:val="single" w:sz="4" w:space="0" w:color="auto"/>
            </w:tcBorders>
            <w:shd w:val="clear" w:color="000000" w:fill="92D050"/>
            <w:vAlign w:val="center"/>
          </w:tcPr>
          <w:p w14:paraId="51FAE9A8" w14:textId="6CBC9F5D" w:rsidR="009A71BD" w:rsidRDefault="009A71BD" w:rsidP="009A71BD">
            <w:pPr>
              <w:jc w:val="center"/>
              <w:rPr>
                <w:rFonts w:ascii="Arial" w:hAnsi="Arial" w:cs="Arial"/>
              </w:rPr>
            </w:pPr>
            <w:r>
              <w:rPr>
                <w:rFonts w:ascii="Arial" w:hAnsi="Arial" w:cs="Arial"/>
              </w:rPr>
              <w:t>G</w:t>
            </w:r>
          </w:p>
        </w:tc>
        <w:tc>
          <w:tcPr>
            <w:tcW w:w="864" w:type="dxa"/>
            <w:tcBorders>
              <w:top w:val="single" w:sz="4" w:space="0" w:color="auto"/>
              <w:left w:val="single" w:sz="4" w:space="0" w:color="auto"/>
              <w:bottom w:val="single" w:sz="4" w:space="0" w:color="auto"/>
              <w:right w:val="single" w:sz="4" w:space="0" w:color="auto"/>
            </w:tcBorders>
            <w:shd w:val="clear" w:color="000000" w:fill="92D050"/>
            <w:vAlign w:val="center"/>
          </w:tcPr>
          <w:p w14:paraId="32411646" w14:textId="2A918DCF" w:rsidR="009A71BD" w:rsidRDefault="009A71BD" w:rsidP="009A71BD">
            <w:pPr>
              <w:jc w:val="center"/>
              <w:rPr>
                <w:rFonts w:ascii="Arial" w:hAnsi="Arial" w:cs="Arial"/>
              </w:rPr>
            </w:pPr>
            <w:r>
              <w:rPr>
                <w:rFonts w:ascii="Arial" w:hAnsi="Arial" w:cs="Arial"/>
              </w:rPr>
              <w:t>G</w:t>
            </w:r>
          </w:p>
        </w:tc>
        <w:tc>
          <w:tcPr>
            <w:tcW w:w="6222" w:type="dxa"/>
            <w:tcBorders>
              <w:top w:val="nil"/>
              <w:left w:val="nil"/>
              <w:bottom w:val="single" w:sz="4" w:space="0" w:color="auto"/>
              <w:right w:val="single" w:sz="4" w:space="0" w:color="auto"/>
            </w:tcBorders>
            <w:shd w:val="clear" w:color="auto" w:fill="auto"/>
            <w:vAlign w:val="center"/>
          </w:tcPr>
          <w:p w14:paraId="21E2BB4F" w14:textId="2FE49850" w:rsidR="009A71BD" w:rsidRDefault="009A71BD" w:rsidP="009A71BD">
            <w:pPr>
              <w:rPr>
                <w:rFonts w:ascii="Arial" w:hAnsi="Arial" w:cs="Arial"/>
              </w:rPr>
            </w:pPr>
            <w:r>
              <w:rPr>
                <w:rFonts w:ascii="Arial" w:hAnsi="Arial" w:cs="Arial"/>
                <w:color w:val="000000"/>
              </w:rPr>
              <w:t xml:space="preserve">A new Project Board for the Sports Village project has been established with Workington Town and Workington Reds taking a lead role in developing the project with support from the Council. The Workington Town Deal Board has recommended inclusion of the Sports Village as a priority project within the Workington Town Investment Plan for which funding is sought through the Town Deal.  </w:t>
            </w:r>
          </w:p>
        </w:tc>
      </w:tr>
      <w:tr w:rsidR="009A71BD" w14:paraId="20DF69E3" w14:textId="77777777" w:rsidTr="007F4334">
        <w:trPr>
          <w:trHeight w:val="1345"/>
        </w:trPr>
        <w:tc>
          <w:tcPr>
            <w:tcW w:w="4378" w:type="dxa"/>
            <w:vAlign w:val="center"/>
          </w:tcPr>
          <w:p w14:paraId="1F74C1AB" w14:textId="67B1ED2C" w:rsidR="009A71BD" w:rsidRPr="00733F7B" w:rsidRDefault="009A71BD" w:rsidP="009A71BD">
            <w:pPr>
              <w:rPr>
                <w:rFonts w:ascii="Arial" w:eastAsia="Times New Roman" w:hAnsi="Arial" w:cs="Arial"/>
                <w:color w:val="000000"/>
                <w:lang w:eastAsia="en-GB"/>
              </w:rPr>
            </w:pPr>
            <w:r w:rsidRPr="003F4A28">
              <w:rPr>
                <w:rFonts w:ascii="Arial" w:hAnsi="Arial" w:cs="Arial"/>
                <w:szCs w:val="24"/>
              </w:rPr>
              <w:lastRenderedPageBreak/>
              <w:t>Development of other investment</w:t>
            </w:r>
            <w:r w:rsidRPr="006E193C">
              <w:rPr>
                <w:rFonts w:ascii="Arial" w:hAnsi="Arial" w:cs="Arial"/>
                <w:szCs w:val="24"/>
              </w:rPr>
              <w:t xml:space="preserve"> and regeneration opportunities with development partners and the Allerdale Investment Partnership</w:t>
            </w:r>
            <w:r>
              <w:rPr>
                <w:rFonts w:ascii="Arial" w:hAnsi="Arial" w:cs="Arial"/>
                <w:szCs w:val="24"/>
              </w:rPr>
              <w:t xml:space="preserve"> as a priority</w:t>
            </w:r>
            <w:r w:rsidRPr="006E193C">
              <w:rPr>
                <w:rFonts w:ascii="Arial" w:hAnsi="Arial" w:cs="Arial"/>
                <w:szCs w:val="24"/>
              </w:rPr>
              <w:t>.</w:t>
            </w:r>
          </w:p>
        </w:tc>
        <w:tc>
          <w:tcPr>
            <w:tcW w:w="1417" w:type="dxa"/>
            <w:vAlign w:val="center"/>
          </w:tcPr>
          <w:p w14:paraId="5D367FE1" w14:textId="64760B9A" w:rsidR="009A71BD" w:rsidRPr="00215E6B" w:rsidRDefault="009A71BD" w:rsidP="009A71BD">
            <w:pPr>
              <w:rPr>
                <w:rFonts w:ascii="Arial" w:hAnsi="Arial" w:cs="Arial"/>
                <w:highlight w:val="lightGray"/>
              </w:rPr>
            </w:pPr>
            <w:r>
              <w:rPr>
                <w:rFonts w:ascii="Arial" w:hAnsi="Arial" w:cs="Arial"/>
                <w:szCs w:val="24"/>
              </w:rPr>
              <w:t>from June 2020</w:t>
            </w:r>
          </w:p>
        </w:tc>
        <w:tc>
          <w:tcPr>
            <w:tcW w:w="1559" w:type="dxa"/>
            <w:vAlign w:val="center"/>
          </w:tcPr>
          <w:p w14:paraId="0ED4D4E0" w14:textId="60DE05EC" w:rsidR="009A71BD" w:rsidRPr="00215E6B" w:rsidRDefault="009A71BD" w:rsidP="009A71BD">
            <w:pPr>
              <w:rPr>
                <w:rFonts w:ascii="Arial" w:hAnsi="Arial" w:cs="Arial"/>
                <w:highlight w:val="lightGray"/>
              </w:rPr>
            </w:pPr>
            <w:r w:rsidRPr="002342B2">
              <w:rPr>
                <w:rFonts w:ascii="Arial" w:hAnsi="Arial" w:cs="Arial"/>
                <w:szCs w:val="24"/>
              </w:rPr>
              <w:t>Programme Director (Workington)</w:t>
            </w:r>
          </w:p>
        </w:tc>
        <w:tc>
          <w:tcPr>
            <w:tcW w:w="864" w:type="dxa"/>
            <w:tcBorders>
              <w:top w:val="single" w:sz="4" w:space="0" w:color="auto"/>
              <w:left w:val="single" w:sz="4" w:space="0" w:color="auto"/>
              <w:bottom w:val="single" w:sz="4" w:space="0" w:color="auto"/>
              <w:right w:val="single" w:sz="4" w:space="0" w:color="auto"/>
            </w:tcBorders>
            <w:shd w:val="clear" w:color="000000" w:fill="92D050"/>
            <w:vAlign w:val="center"/>
          </w:tcPr>
          <w:p w14:paraId="15F74BB3" w14:textId="287B227B" w:rsidR="009A71BD" w:rsidRDefault="009A71BD" w:rsidP="009A71BD">
            <w:pPr>
              <w:jc w:val="center"/>
              <w:rPr>
                <w:rFonts w:ascii="Arial" w:hAnsi="Arial" w:cs="Arial"/>
              </w:rPr>
            </w:pPr>
            <w:r>
              <w:rPr>
                <w:rFonts w:ascii="Arial" w:hAnsi="Arial" w:cs="Arial"/>
              </w:rPr>
              <w:t>G</w:t>
            </w:r>
          </w:p>
        </w:tc>
        <w:tc>
          <w:tcPr>
            <w:tcW w:w="864" w:type="dxa"/>
            <w:tcBorders>
              <w:top w:val="single" w:sz="4" w:space="0" w:color="auto"/>
              <w:left w:val="single" w:sz="4" w:space="0" w:color="auto"/>
              <w:bottom w:val="single" w:sz="4" w:space="0" w:color="auto"/>
              <w:right w:val="single" w:sz="4" w:space="0" w:color="auto"/>
            </w:tcBorders>
            <w:shd w:val="clear" w:color="000000" w:fill="92D050"/>
            <w:vAlign w:val="center"/>
          </w:tcPr>
          <w:p w14:paraId="6A6F11ED" w14:textId="5D9A1DD9" w:rsidR="009A71BD" w:rsidRDefault="009A71BD" w:rsidP="009A71BD">
            <w:pPr>
              <w:jc w:val="center"/>
              <w:rPr>
                <w:rFonts w:ascii="Arial" w:hAnsi="Arial" w:cs="Arial"/>
              </w:rPr>
            </w:pPr>
            <w:r>
              <w:rPr>
                <w:rFonts w:ascii="Arial" w:hAnsi="Arial" w:cs="Arial"/>
              </w:rPr>
              <w:t>G</w:t>
            </w:r>
          </w:p>
        </w:tc>
        <w:tc>
          <w:tcPr>
            <w:tcW w:w="6222" w:type="dxa"/>
            <w:tcBorders>
              <w:top w:val="nil"/>
              <w:left w:val="nil"/>
              <w:bottom w:val="single" w:sz="4" w:space="0" w:color="auto"/>
              <w:right w:val="single" w:sz="4" w:space="0" w:color="auto"/>
            </w:tcBorders>
            <w:shd w:val="clear" w:color="auto" w:fill="auto"/>
            <w:vAlign w:val="center"/>
          </w:tcPr>
          <w:p w14:paraId="4B1FDFF4" w14:textId="76E641AE" w:rsidR="009A71BD" w:rsidRDefault="009A71BD" w:rsidP="009A71BD">
            <w:pPr>
              <w:rPr>
                <w:rFonts w:ascii="Arial" w:hAnsi="Arial" w:cs="Arial"/>
              </w:rPr>
            </w:pPr>
            <w:r>
              <w:rPr>
                <w:rFonts w:ascii="Arial" w:hAnsi="Arial" w:cs="Arial"/>
                <w:color w:val="000000"/>
              </w:rPr>
              <w:t xml:space="preserve">Proposals for a number of regeneration proposals are included within the Town Investment Plan for Workington and discussions are ongoing as to how the AIP can support the delivery of these and other projects. Work is ongoing to develop opportunities arising from the vertical farm proposal at Lillyhall. </w:t>
            </w:r>
          </w:p>
        </w:tc>
      </w:tr>
    </w:tbl>
    <w:p w14:paraId="720823D4" w14:textId="72964C79" w:rsidR="004909F0" w:rsidRDefault="004909F0" w:rsidP="00825A0A">
      <w:pPr>
        <w:tabs>
          <w:tab w:val="left" w:pos="1134"/>
        </w:tabs>
        <w:rPr>
          <w:rFonts w:ascii="Arial" w:hAnsi="Arial" w:cs="Arial"/>
          <w:bCs/>
          <w:sz w:val="24"/>
          <w:szCs w:val="24"/>
        </w:rPr>
      </w:pPr>
      <w:r>
        <w:t xml:space="preserve"> </w:t>
      </w:r>
    </w:p>
    <w:tbl>
      <w:tblPr>
        <w:tblStyle w:val="TableGrid"/>
        <w:tblW w:w="15304" w:type="dxa"/>
        <w:tblLook w:val="04A0" w:firstRow="1" w:lastRow="0" w:firstColumn="1" w:lastColumn="0" w:noHBand="0" w:noVBand="1"/>
      </w:tblPr>
      <w:tblGrid>
        <w:gridCol w:w="4032"/>
        <w:gridCol w:w="1012"/>
        <w:gridCol w:w="887"/>
        <w:gridCol w:w="852"/>
        <w:gridCol w:w="828"/>
        <w:gridCol w:w="1097"/>
        <w:gridCol w:w="6596"/>
      </w:tblGrid>
      <w:tr w:rsidR="00FF5FB5" w:rsidRPr="002E7893" w14:paraId="0FD2856B" w14:textId="77777777" w:rsidTr="009A71BD">
        <w:trPr>
          <w:trHeight w:val="521"/>
        </w:trPr>
        <w:tc>
          <w:tcPr>
            <w:tcW w:w="4032" w:type="dxa"/>
            <w:shd w:val="clear" w:color="auto" w:fill="CF7CA4"/>
            <w:vAlign w:val="center"/>
          </w:tcPr>
          <w:p w14:paraId="32B43E24" w14:textId="77777777" w:rsidR="00FF5FB5" w:rsidRPr="004909F0" w:rsidRDefault="00FF5FB5" w:rsidP="004909F0">
            <w:pPr>
              <w:tabs>
                <w:tab w:val="left" w:pos="1134"/>
              </w:tabs>
              <w:rPr>
                <w:rFonts w:ascii="Arial" w:hAnsi="Arial" w:cs="Arial"/>
                <w:b/>
                <w:bCs/>
                <w:szCs w:val="24"/>
              </w:rPr>
            </w:pPr>
            <w:r w:rsidRPr="004909F0">
              <w:rPr>
                <w:rFonts w:ascii="Arial" w:hAnsi="Arial" w:cs="Arial"/>
                <w:b/>
                <w:bCs/>
                <w:color w:val="FFFFFF" w:themeColor="background1"/>
                <w:szCs w:val="24"/>
              </w:rPr>
              <w:t>Key performance indicators</w:t>
            </w:r>
          </w:p>
        </w:tc>
        <w:tc>
          <w:tcPr>
            <w:tcW w:w="1012" w:type="dxa"/>
            <w:shd w:val="clear" w:color="auto" w:fill="CF7CA4"/>
            <w:vAlign w:val="center"/>
          </w:tcPr>
          <w:p w14:paraId="47C0BC3A" w14:textId="0412CEB5" w:rsidR="00FF5FB5" w:rsidRPr="004909F0" w:rsidRDefault="00FF5FB5" w:rsidP="004909F0">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2019/20 actual</w:t>
            </w:r>
          </w:p>
        </w:tc>
        <w:tc>
          <w:tcPr>
            <w:tcW w:w="887" w:type="dxa"/>
            <w:shd w:val="clear" w:color="auto" w:fill="CF7CA4"/>
          </w:tcPr>
          <w:p w14:paraId="4801CC0B" w14:textId="77777777" w:rsidR="00FF5FB5" w:rsidRPr="004909F0" w:rsidRDefault="00FF5FB5" w:rsidP="004909F0">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Q1 actual</w:t>
            </w:r>
          </w:p>
        </w:tc>
        <w:tc>
          <w:tcPr>
            <w:tcW w:w="852" w:type="dxa"/>
            <w:shd w:val="clear" w:color="auto" w:fill="CF7CA4"/>
          </w:tcPr>
          <w:p w14:paraId="318E3677" w14:textId="0DE93C1C" w:rsidR="00FF5FB5" w:rsidRDefault="00FF5FB5" w:rsidP="004909F0">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Q2 actual</w:t>
            </w:r>
          </w:p>
        </w:tc>
        <w:tc>
          <w:tcPr>
            <w:tcW w:w="828" w:type="dxa"/>
            <w:shd w:val="clear" w:color="auto" w:fill="CF7CA4"/>
          </w:tcPr>
          <w:p w14:paraId="07FDAD13" w14:textId="4A3D6D12" w:rsidR="00FF5FB5" w:rsidRPr="004909F0" w:rsidRDefault="00FF5FB5" w:rsidP="004909F0">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Trend</w:t>
            </w:r>
          </w:p>
        </w:tc>
        <w:tc>
          <w:tcPr>
            <w:tcW w:w="1097" w:type="dxa"/>
            <w:shd w:val="clear" w:color="auto" w:fill="CF7CA4"/>
          </w:tcPr>
          <w:p w14:paraId="29E554AC" w14:textId="5238CFCF" w:rsidR="00FF5FB5" w:rsidRPr="004909F0" w:rsidRDefault="00FF5FB5" w:rsidP="00FF5FB5">
            <w:pPr>
              <w:tabs>
                <w:tab w:val="left" w:pos="1134"/>
              </w:tabs>
              <w:jc w:val="center"/>
              <w:rPr>
                <w:rFonts w:ascii="Arial" w:hAnsi="Arial" w:cs="Arial"/>
                <w:b/>
                <w:bCs/>
                <w:color w:val="FFFFFF" w:themeColor="background1"/>
                <w:szCs w:val="24"/>
              </w:rPr>
            </w:pPr>
            <w:r w:rsidRPr="004909F0">
              <w:rPr>
                <w:rFonts w:ascii="Arial" w:hAnsi="Arial" w:cs="Arial"/>
                <w:b/>
                <w:bCs/>
                <w:color w:val="FFFFFF" w:themeColor="background1"/>
                <w:szCs w:val="24"/>
              </w:rPr>
              <w:t xml:space="preserve">Target </w:t>
            </w:r>
            <w:r>
              <w:rPr>
                <w:rFonts w:ascii="Arial" w:hAnsi="Arial" w:cs="Arial"/>
                <w:b/>
                <w:bCs/>
                <w:color w:val="FFFFFF" w:themeColor="background1"/>
                <w:szCs w:val="24"/>
              </w:rPr>
              <w:t>Q2</w:t>
            </w:r>
          </w:p>
        </w:tc>
        <w:tc>
          <w:tcPr>
            <w:tcW w:w="6596" w:type="dxa"/>
            <w:shd w:val="clear" w:color="auto" w:fill="CF7CA4"/>
          </w:tcPr>
          <w:p w14:paraId="5DEE08C0" w14:textId="77777777" w:rsidR="00FF5FB5" w:rsidRPr="004909F0" w:rsidRDefault="00FF5FB5" w:rsidP="00610C11">
            <w:pPr>
              <w:tabs>
                <w:tab w:val="left" w:pos="1134"/>
              </w:tabs>
              <w:rPr>
                <w:rFonts w:ascii="Arial" w:hAnsi="Arial" w:cs="Arial"/>
                <w:b/>
                <w:bCs/>
                <w:color w:val="FFFFFF" w:themeColor="background1"/>
                <w:szCs w:val="24"/>
              </w:rPr>
            </w:pPr>
            <w:r w:rsidRPr="004909F0">
              <w:rPr>
                <w:rFonts w:ascii="Arial" w:hAnsi="Arial" w:cs="Arial"/>
                <w:b/>
                <w:bCs/>
                <w:color w:val="FFFFFF" w:themeColor="background1"/>
                <w:szCs w:val="24"/>
              </w:rPr>
              <w:t>Progress and management action (where red/amber)</w:t>
            </w:r>
          </w:p>
        </w:tc>
      </w:tr>
      <w:tr w:rsidR="00FF5FB5" w:rsidRPr="002E7893" w14:paraId="17C64F06" w14:textId="77777777" w:rsidTr="009A71BD">
        <w:trPr>
          <w:trHeight w:val="454"/>
        </w:trPr>
        <w:tc>
          <w:tcPr>
            <w:tcW w:w="4032" w:type="dxa"/>
            <w:vAlign w:val="center"/>
          </w:tcPr>
          <w:p w14:paraId="1A552148" w14:textId="4ADF3F81" w:rsidR="00FF5FB5" w:rsidRPr="00D26961" w:rsidRDefault="00FF5FB5" w:rsidP="005917A1">
            <w:pPr>
              <w:rPr>
                <w:rFonts w:ascii="Arial" w:eastAsia="Times New Roman" w:hAnsi="Arial" w:cs="Arial"/>
                <w:color w:val="000000"/>
                <w:szCs w:val="20"/>
                <w:lang w:eastAsia="en-GB"/>
              </w:rPr>
            </w:pPr>
            <w:r w:rsidRPr="009C102B">
              <w:rPr>
                <w:rFonts w:ascii="Arial" w:hAnsi="Arial" w:cs="Arial"/>
              </w:rPr>
              <w:t>% of major planning applications determined within statutory period</w:t>
            </w:r>
          </w:p>
        </w:tc>
        <w:tc>
          <w:tcPr>
            <w:tcW w:w="1012" w:type="dxa"/>
            <w:vAlign w:val="center"/>
          </w:tcPr>
          <w:p w14:paraId="4EEA7E9A" w14:textId="0B36A983" w:rsidR="00FF5FB5" w:rsidRPr="005917A1" w:rsidRDefault="00FF5FB5" w:rsidP="005917A1">
            <w:pPr>
              <w:spacing w:line="259" w:lineRule="auto"/>
              <w:jc w:val="center"/>
              <w:rPr>
                <w:rFonts w:ascii="Arial" w:hAnsi="Arial" w:cs="Arial"/>
              </w:rPr>
            </w:pPr>
            <w:r w:rsidRPr="005917A1">
              <w:rPr>
                <w:rFonts w:ascii="Arial" w:hAnsi="Arial" w:cs="Arial"/>
              </w:rPr>
              <w:t>89%</w:t>
            </w:r>
          </w:p>
        </w:tc>
        <w:tc>
          <w:tcPr>
            <w:tcW w:w="887" w:type="dxa"/>
            <w:shd w:val="clear" w:color="auto" w:fill="92D050"/>
            <w:vAlign w:val="center"/>
          </w:tcPr>
          <w:p w14:paraId="1507C3AC" w14:textId="01E5E890" w:rsidR="00FF5FB5" w:rsidRPr="005917A1" w:rsidRDefault="00FF5FB5" w:rsidP="0060238C">
            <w:pPr>
              <w:jc w:val="center"/>
              <w:rPr>
                <w:rFonts w:ascii="Arial" w:hAnsi="Arial" w:cs="Arial"/>
              </w:rPr>
            </w:pPr>
            <w:r>
              <w:rPr>
                <w:rFonts w:ascii="Arial" w:hAnsi="Arial" w:cs="Arial"/>
              </w:rPr>
              <w:t>100%</w:t>
            </w:r>
          </w:p>
        </w:tc>
        <w:tc>
          <w:tcPr>
            <w:tcW w:w="852" w:type="dxa"/>
            <w:shd w:val="clear" w:color="auto" w:fill="92D050"/>
            <w:vAlign w:val="center"/>
          </w:tcPr>
          <w:p w14:paraId="224AAA06" w14:textId="1D25EC46" w:rsidR="00FF5FB5" w:rsidRPr="00FF5FB5" w:rsidRDefault="00FF5FB5" w:rsidP="00FF5FB5">
            <w:pPr>
              <w:jc w:val="center"/>
              <w:rPr>
                <w:rFonts w:ascii="Arial" w:hAnsi="Arial" w:cs="Arial"/>
              </w:rPr>
            </w:pPr>
            <w:r>
              <w:rPr>
                <w:rFonts w:ascii="Arial" w:hAnsi="Arial" w:cs="Arial"/>
              </w:rPr>
              <w:t>100%</w:t>
            </w:r>
          </w:p>
        </w:tc>
        <w:tc>
          <w:tcPr>
            <w:tcW w:w="828" w:type="dxa"/>
            <w:shd w:val="clear" w:color="auto" w:fill="auto"/>
            <w:vAlign w:val="center"/>
          </w:tcPr>
          <w:p w14:paraId="65EA5C46" w14:textId="506E44C6" w:rsidR="00FF5FB5" w:rsidRPr="005917A1" w:rsidRDefault="00FF5FB5" w:rsidP="005917A1">
            <w:pPr>
              <w:jc w:val="center"/>
              <w:rPr>
                <w:rFonts w:ascii="Arial" w:hAnsi="Arial" w:cs="Arial"/>
              </w:rPr>
            </w:pPr>
            <w:r w:rsidRPr="00F80F60">
              <w:rPr>
                <w:rFonts w:ascii="Wingdings 3" w:eastAsia="Wingdings 3" w:hAnsi="Wingdings 3" w:cs="Wingdings 3"/>
                <w:sz w:val="32"/>
                <w:szCs w:val="32"/>
              </w:rPr>
              <w:t></w:t>
            </w:r>
          </w:p>
        </w:tc>
        <w:tc>
          <w:tcPr>
            <w:tcW w:w="1097" w:type="dxa"/>
            <w:shd w:val="clear" w:color="auto" w:fill="auto"/>
            <w:vAlign w:val="center"/>
          </w:tcPr>
          <w:p w14:paraId="6AE2CB82" w14:textId="5CC75971" w:rsidR="00FF5FB5" w:rsidRPr="1182FF59" w:rsidRDefault="00FF5FB5" w:rsidP="001866FA">
            <w:pPr>
              <w:jc w:val="center"/>
              <w:rPr>
                <w:rFonts w:ascii="Arial" w:hAnsi="Arial" w:cs="Arial"/>
              </w:rPr>
            </w:pPr>
            <w:r w:rsidRPr="00F93D2B">
              <w:rPr>
                <w:rFonts w:ascii="Arial" w:hAnsi="Arial" w:cs="Arial"/>
              </w:rPr>
              <w:t>90%</w:t>
            </w:r>
          </w:p>
        </w:tc>
        <w:tc>
          <w:tcPr>
            <w:tcW w:w="6596" w:type="dxa"/>
            <w:shd w:val="clear" w:color="auto" w:fill="auto"/>
            <w:vAlign w:val="center"/>
          </w:tcPr>
          <w:p w14:paraId="19A63184" w14:textId="2EF6DD4B" w:rsidR="00FF5FB5" w:rsidRPr="1182FF59" w:rsidRDefault="00FF5FB5" w:rsidP="0060238C">
            <w:pPr>
              <w:rPr>
                <w:rFonts w:ascii="Arial" w:hAnsi="Arial" w:cs="Arial"/>
              </w:rPr>
            </w:pPr>
            <w:r>
              <w:rPr>
                <w:rFonts w:ascii="Arial" w:hAnsi="Arial" w:cs="Arial"/>
              </w:rPr>
              <w:t>Improvement on 2019/20.</w:t>
            </w:r>
          </w:p>
        </w:tc>
      </w:tr>
      <w:tr w:rsidR="00FF5FB5" w:rsidRPr="002E7893" w14:paraId="1FF181AA" w14:textId="77777777" w:rsidTr="009A71BD">
        <w:trPr>
          <w:trHeight w:val="454"/>
        </w:trPr>
        <w:tc>
          <w:tcPr>
            <w:tcW w:w="4032" w:type="dxa"/>
            <w:vAlign w:val="center"/>
          </w:tcPr>
          <w:p w14:paraId="2DD26A41" w14:textId="7E986C65" w:rsidR="00FF5FB5" w:rsidRPr="00D26961" w:rsidRDefault="00FF5FB5" w:rsidP="005917A1">
            <w:pPr>
              <w:rPr>
                <w:rFonts w:ascii="Arial" w:eastAsia="Times New Roman" w:hAnsi="Arial" w:cs="Arial"/>
                <w:color w:val="000000"/>
                <w:szCs w:val="20"/>
                <w:lang w:eastAsia="en-GB"/>
              </w:rPr>
            </w:pPr>
            <w:r w:rsidRPr="00A23F92">
              <w:rPr>
                <w:rFonts w:ascii="Arial" w:hAnsi="Arial" w:cs="Arial"/>
                <w:szCs w:val="24"/>
              </w:rPr>
              <w:t xml:space="preserve">% of grant monies paid out </w:t>
            </w:r>
            <w:r>
              <w:rPr>
                <w:rFonts w:ascii="Arial" w:hAnsi="Arial" w:cs="Arial"/>
                <w:szCs w:val="24"/>
              </w:rPr>
              <w:t>in grants to small businesses</w:t>
            </w:r>
          </w:p>
        </w:tc>
        <w:tc>
          <w:tcPr>
            <w:tcW w:w="1012" w:type="dxa"/>
            <w:vAlign w:val="center"/>
          </w:tcPr>
          <w:p w14:paraId="7C43079E" w14:textId="5EA0FB68" w:rsidR="00FF5FB5" w:rsidRPr="005917A1" w:rsidRDefault="00FF5FB5" w:rsidP="005917A1">
            <w:pPr>
              <w:spacing w:line="259" w:lineRule="auto"/>
              <w:jc w:val="center"/>
              <w:rPr>
                <w:rFonts w:ascii="Arial" w:hAnsi="Arial" w:cs="Arial"/>
              </w:rPr>
            </w:pPr>
            <w:r>
              <w:rPr>
                <w:rFonts w:ascii="Arial" w:hAnsi="Arial" w:cs="Arial"/>
              </w:rPr>
              <w:t>n/a</w:t>
            </w:r>
          </w:p>
        </w:tc>
        <w:tc>
          <w:tcPr>
            <w:tcW w:w="887" w:type="dxa"/>
            <w:shd w:val="clear" w:color="auto" w:fill="FFC000"/>
            <w:vAlign w:val="center"/>
          </w:tcPr>
          <w:p w14:paraId="32882798" w14:textId="364C7113" w:rsidR="00FF5FB5" w:rsidRPr="005917A1" w:rsidRDefault="00FF5FB5" w:rsidP="005917A1">
            <w:pPr>
              <w:jc w:val="center"/>
              <w:rPr>
                <w:rFonts w:ascii="Arial" w:hAnsi="Arial" w:cs="Arial"/>
              </w:rPr>
            </w:pPr>
            <w:r>
              <w:rPr>
                <w:rFonts w:ascii="Arial" w:hAnsi="Arial" w:cs="Arial"/>
              </w:rPr>
              <w:t>90%</w:t>
            </w:r>
          </w:p>
        </w:tc>
        <w:tc>
          <w:tcPr>
            <w:tcW w:w="852" w:type="dxa"/>
            <w:shd w:val="clear" w:color="auto" w:fill="FFC000"/>
            <w:vAlign w:val="center"/>
          </w:tcPr>
          <w:p w14:paraId="786FC854" w14:textId="2007BDC0" w:rsidR="00FF5FB5" w:rsidRPr="00FF5FB5" w:rsidRDefault="00FF5FB5" w:rsidP="00FF5FB5">
            <w:pPr>
              <w:jc w:val="center"/>
              <w:rPr>
                <w:rFonts w:ascii="Arial" w:hAnsi="Arial" w:cs="Arial"/>
              </w:rPr>
            </w:pPr>
            <w:r w:rsidRPr="00FF5FB5">
              <w:rPr>
                <w:rFonts w:ascii="Arial" w:hAnsi="Arial" w:cs="Arial"/>
              </w:rPr>
              <w:t>92%</w:t>
            </w:r>
          </w:p>
        </w:tc>
        <w:tc>
          <w:tcPr>
            <w:tcW w:w="828" w:type="dxa"/>
            <w:vAlign w:val="center"/>
          </w:tcPr>
          <w:p w14:paraId="2C63BAFA" w14:textId="772F3555" w:rsidR="00FF5FB5" w:rsidRPr="005917A1" w:rsidRDefault="00FF5FB5" w:rsidP="005917A1">
            <w:pPr>
              <w:jc w:val="center"/>
              <w:rPr>
                <w:rFonts w:ascii="Arial" w:hAnsi="Arial" w:cs="Arial"/>
              </w:rPr>
            </w:pPr>
            <w:r w:rsidRPr="00E14EFF">
              <w:rPr>
                <w:rFonts w:ascii="Wingdings 3" w:eastAsia="Wingdings 3" w:hAnsi="Wingdings 3" w:cs="Wingdings 3"/>
                <w:sz w:val="32"/>
                <w:szCs w:val="21"/>
              </w:rPr>
              <w:t></w:t>
            </w:r>
          </w:p>
        </w:tc>
        <w:tc>
          <w:tcPr>
            <w:tcW w:w="1097" w:type="dxa"/>
            <w:vAlign w:val="center"/>
          </w:tcPr>
          <w:p w14:paraId="0908CA9C" w14:textId="44483DB4" w:rsidR="00FF5FB5" w:rsidRPr="1182FF59" w:rsidRDefault="00FF5FB5" w:rsidP="00E65D43">
            <w:pPr>
              <w:jc w:val="center"/>
              <w:rPr>
                <w:rFonts w:ascii="Arial" w:hAnsi="Arial" w:cs="Arial"/>
              </w:rPr>
            </w:pPr>
            <w:r w:rsidRPr="00B97626">
              <w:rPr>
                <w:rFonts w:ascii="Arial" w:hAnsi="Arial" w:cs="Arial"/>
              </w:rPr>
              <w:t xml:space="preserve">100% by </w:t>
            </w:r>
            <w:r w:rsidRPr="00032083">
              <w:rPr>
                <w:rFonts w:ascii="Arial" w:hAnsi="Arial" w:cs="Arial"/>
              </w:rPr>
              <w:t>Oct 2020</w:t>
            </w:r>
          </w:p>
        </w:tc>
        <w:tc>
          <w:tcPr>
            <w:tcW w:w="6596" w:type="dxa"/>
            <w:vAlign w:val="center"/>
          </w:tcPr>
          <w:p w14:paraId="31518895" w14:textId="2DD9508F" w:rsidR="00FF5FB5" w:rsidRPr="1182FF59" w:rsidRDefault="00FF5FB5" w:rsidP="00FF5FB5">
            <w:pPr>
              <w:rPr>
                <w:rFonts w:ascii="Arial" w:hAnsi="Arial" w:cs="Arial"/>
              </w:rPr>
            </w:pPr>
            <w:r w:rsidRPr="00BB28D6">
              <w:rPr>
                <w:rFonts w:ascii="Arial" w:hAnsi="Arial" w:cs="Arial"/>
              </w:rPr>
              <w:t xml:space="preserve">At </w:t>
            </w:r>
            <w:r>
              <w:rPr>
                <w:rFonts w:ascii="Arial" w:hAnsi="Arial" w:cs="Arial"/>
              </w:rPr>
              <w:t>30 Sept</w:t>
            </w:r>
            <w:r w:rsidRPr="00BB28D6">
              <w:rPr>
                <w:rFonts w:ascii="Arial" w:hAnsi="Arial" w:cs="Arial"/>
              </w:rPr>
              <w:t xml:space="preserve"> 2020 the Council had paid out </w:t>
            </w:r>
            <w:r>
              <w:rPr>
                <w:rFonts w:ascii="Arial" w:hAnsi="Arial" w:cs="Arial"/>
              </w:rPr>
              <w:t xml:space="preserve">95% of the </w:t>
            </w:r>
            <w:r w:rsidRPr="00BB28D6">
              <w:rPr>
                <w:rFonts w:ascii="Arial" w:hAnsi="Arial" w:cs="Arial"/>
              </w:rPr>
              <w:t xml:space="preserve">allocation from Government </w:t>
            </w:r>
            <w:r>
              <w:rPr>
                <w:rFonts w:ascii="Arial" w:hAnsi="Arial" w:cs="Arial"/>
              </w:rPr>
              <w:t xml:space="preserve">for the </w:t>
            </w:r>
            <w:r w:rsidRPr="00BB28D6">
              <w:rPr>
                <w:rFonts w:ascii="Arial" w:hAnsi="Arial" w:cs="Arial"/>
              </w:rPr>
              <w:t>Small Business and Retail, Hospitality and Leisure Grant Funds</w:t>
            </w:r>
            <w:r>
              <w:rPr>
                <w:rFonts w:ascii="Arial" w:hAnsi="Arial" w:cs="Arial"/>
              </w:rPr>
              <w:t xml:space="preserve"> and 89% of the allocation for the </w:t>
            </w:r>
            <w:r w:rsidRPr="00BB28D6">
              <w:rPr>
                <w:rFonts w:ascii="Arial" w:hAnsi="Arial" w:cs="Arial"/>
              </w:rPr>
              <w:t>smaller Discretionary Business Grants Scheme</w:t>
            </w:r>
            <w:r>
              <w:rPr>
                <w:rFonts w:ascii="Arial" w:hAnsi="Arial" w:cs="Arial"/>
              </w:rPr>
              <w:t>. G</w:t>
            </w:r>
            <w:r w:rsidRPr="00BB28D6">
              <w:rPr>
                <w:rFonts w:ascii="Arial" w:hAnsi="Arial" w:cs="Arial"/>
              </w:rPr>
              <w:t>overnment announced that the grants schemes need</w:t>
            </w:r>
            <w:r>
              <w:rPr>
                <w:rFonts w:ascii="Arial" w:hAnsi="Arial" w:cs="Arial"/>
              </w:rPr>
              <w:t>ed</w:t>
            </w:r>
            <w:r w:rsidRPr="00BB28D6">
              <w:rPr>
                <w:rFonts w:ascii="Arial" w:hAnsi="Arial" w:cs="Arial"/>
              </w:rPr>
              <w:t xml:space="preserve"> to close </w:t>
            </w:r>
            <w:r>
              <w:rPr>
                <w:rFonts w:ascii="Arial" w:hAnsi="Arial" w:cs="Arial"/>
              </w:rPr>
              <w:t>by</w:t>
            </w:r>
            <w:r w:rsidRPr="00BB28D6">
              <w:rPr>
                <w:rFonts w:ascii="Arial" w:hAnsi="Arial" w:cs="Arial"/>
              </w:rPr>
              <w:t xml:space="preserve"> 28 Aug 2020.</w:t>
            </w:r>
          </w:p>
        </w:tc>
      </w:tr>
    </w:tbl>
    <w:p w14:paraId="72B2E013" w14:textId="77777777" w:rsidR="009A71BD" w:rsidRDefault="009A71BD" w:rsidP="000270FC">
      <w:pPr>
        <w:pStyle w:val="Heading1"/>
        <w:spacing w:after="160"/>
        <w:jc w:val="left"/>
        <w:rPr>
          <w:b/>
          <w:i w:val="0"/>
          <w:color w:val="EC4F24"/>
          <w:sz w:val="56"/>
          <w:szCs w:val="56"/>
        </w:rPr>
      </w:pPr>
    </w:p>
    <w:p w14:paraId="06A70052" w14:textId="77777777" w:rsidR="009A71BD" w:rsidRDefault="009A71BD" w:rsidP="009A71BD">
      <w:pPr>
        <w:rPr>
          <w:rFonts w:ascii="Arial" w:eastAsia="Times" w:hAnsi="Arial" w:cs="Times New Roman"/>
          <w:lang w:eastAsia="en-GB"/>
        </w:rPr>
      </w:pPr>
      <w:r>
        <w:br w:type="page"/>
      </w:r>
    </w:p>
    <w:p w14:paraId="3961A6CF" w14:textId="534B3116" w:rsidR="00825A0A" w:rsidRPr="000270FC" w:rsidRDefault="00825A0A" w:rsidP="000270FC">
      <w:pPr>
        <w:pStyle w:val="Heading1"/>
        <w:spacing w:after="160"/>
        <w:jc w:val="left"/>
        <w:rPr>
          <w:b/>
          <w:i w:val="0"/>
          <w:color w:val="EC4F24"/>
          <w:sz w:val="56"/>
          <w:szCs w:val="56"/>
        </w:rPr>
      </w:pPr>
      <w:r w:rsidRPr="000270FC">
        <w:rPr>
          <w:b/>
          <w:i w:val="0"/>
          <w:color w:val="EC4F24"/>
          <w:sz w:val="56"/>
          <w:szCs w:val="56"/>
        </w:rPr>
        <w:lastRenderedPageBreak/>
        <w:t>Outstanding local services</w:t>
      </w:r>
    </w:p>
    <w:p w14:paraId="63C74F9F" w14:textId="72491775" w:rsidR="004909F0" w:rsidRDefault="00825A0A" w:rsidP="00825A0A">
      <w:pPr>
        <w:rPr>
          <w:rFonts w:ascii="Arial" w:hAnsi="Arial" w:cs="Arial"/>
          <w:b/>
          <w:sz w:val="26"/>
          <w:szCs w:val="26"/>
        </w:rPr>
      </w:pPr>
      <w:r w:rsidRPr="00275ACD">
        <w:rPr>
          <w:rFonts w:ascii="Arial" w:hAnsi="Arial" w:cs="Arial"/>
          <w:b/>
          <w:bCs/>
          <w:sz w:val="28"/>
          <w:szCs w:val="20"/>
        </w:rPr>
        <w:t>Our objectives:</w:t>
      </w:r>
      <w:r>
        <w:rPr>
          <w:rFonts w:ascii="Arial" w:hAnsi="Arial" w:cs="Arial"/>
          <w:b/>
          <w:bCs/>
          <w:sz w:val="28"/>
          <w:szCs w:val="20"/>
        </w:rPr>
        <w:t xml:space="preserve">  </w:t>
      </w:r>
      <w:r w:rsidRPr="009F1D76">
        <w:rPr>
          <w:rFonts w:ascii="Arial" w:hAnsi="Arial" w:cs="Arial"/>
          <w:bCs/>
          <w:sz w:val="24"/>
          <w:szCs w:val="20"/>
        </w:rPr>
        <w:t xml:space="preserve">Make it easy for customers to contact us </w:t>
      </w:r>
      <w:r>
        <w:rPr>
          <w:rFonts w:ascii="Arial" w:hAnsi="Arial" w:cs="Arial"/>
          <w:bCs/>
          <w:sz w:val="24"/>
          <w:szCs w:val="20"/>
        </w:rPr>
        <w:t xml:space="preserve"> </w:t>
      </w:r>
      <w:r>
        <w:rPr>
          <w:rFonts w:ascii="Symbol" w:eastAsia="Symbol" w:hAnsi="Symbol" w:cs="Symbol"/>
          <w:bCs/>
          <w:sz w:val="24"/>
          <w:szCs w:val="26"/>
        </w:rPr>
        <w:t></w:t>
      </w:r>
      <w:r>
        <w:rPr>
          <w:rFonts w:ascii="Arial" w:hAnsi="Arial" w:cs="Arial"/>
          <w:bCs/>
          <w:sz w:val="24"/>
          <w:szCs w:val="20"/>
        </w:rPr>
        <w:t xml:space="preserve">  </w:t>
      </w:r>
      <w:r w:rsidRPr="009F1D76">
        <w:rPr>
          <w:rFonts w:ascii="Arial" w:hAnsi="Arial" w:cs="Arial"/>
          <w:bCs/>
          <w:sz w:val="24"/>
          <w:szCs w:val="20"/>
        </w:rPr>
        <w:t>Ensure we get it right first time</w:t>
      </w:r>
      <w:r>
        <w:rPr>
          <w:rFonts w:ascii="Arial" w:hAnsi="Arial" w:cs="Arial"/>
          <w:bCs/>
          <w:sz w:val="24"/>
          <w:szCs w:val="20"/>
        </w:rPr>
        <w:t xml:space="preserve">  </w:t>
      </w:r>
      <w:r>
        <w:rPr>
          <w:rFonts w:ascii="Symbol" w:eastAsia="Symbol" w:hAnsi="Symbol" w:cs="Symbol"/>
          <w:bCs/>
          <w:sz w:val="24"/>
          <w:szCs w:val="26"/>
        </w:rPr>
        <w:t></w:t>
      </w:r>
      <w:r>
        <w:rPr>
          <w:rFonts w:ascii="Arial" w:hAnsi="Arial" w:cs="Arial"/>
          <w:sz w:val="24"/>
        </w:rPr>
        <w:t xml:space="preserve"> </w:t>
      </w:r>
      <w:r>
        <w:rPr>
          <w:rFonts w:ascii="Arial" w:hAnsi="Arial" w:cs="Arial"/>
          <w:bCs/>
          <w:sz w:val="24"/>
          <w:szCs w:val="20"/>
        </w:rPr>
        <w:t xml:space="preserve"> </w:t>
      </w:r>
      <w:r w:rsidRPr="009F1D76">
        <w:rPr>
          <w:rFonts w:ascii="Arial" w:hAnsi="Arial" w:cs="Arial"/>
          <w:bCs/>
          <w:sz w:val="24"/>
          <w:szCs w:val="20"/>
        </w:rPr>
        <w:t>Be bold in our use of technology</w:t>
      </w:r>
      <w:r>
        <w:rPr>
          <w:rFonts w:ascii="Arial" w:hAnsi="Arial" w:cs="Arial"/>
          <w:bCs/>
          <w:sz w:val="24"/>
          <w:szCs w:val="20"/>
        </w:rPr>
        <w:t xml:space="preserve">  </w:t>
      </w:r>
      <w:r>
        <w:rPr>
          <w:rFonts w:ascii="Symbol" w:eastAsia="Symbol" w:hAnsi="Symbol" w:cs="Symbol"/>
          <w:bCs/>
          <w:sz w:val="24"/>
          <w:szCs w:val="26"/>
        </w:rPr>
        <w:t></w:t>
      </w:r>
      <w:r>
        <w:rPr>
          <w:rFonts w:ascii="Arial" w:hAnsi="Arial" w:cs="Arial"/>
          <w:sz w:val="24"/>
        </w:rPr>
        <w:t xml:space="preserve"> </w:t>
      </w:r>
      <w:r>
        <w:rPr>
          <w:rFonts w:ascii="Arial" w:hAnsi="Arial" w:cs="Arial"/>
          <w:bCs/>
          <w:sz w:val="24"/>
          <w:szCs w:val="20"/>
        </w:rPr>
        <w:t xml:space="preserve"> </w:t>
      </w:r>
      <w:r w:rsidRPr="009F1D76">
        <w:rPr>
          <w:rFonts w:ascii="Arial" w:hAnsi="Arial" w:cs="Arial"/>
          <w:bCs/>
          <w:sz w:val="24"/>
          <w:szCs w:val="20"/>
        </w:rPr>
        <w:t>Look at different and better ways to deliver services</w:t>
      </w:r>
    </w:p>
    <w:tbl>
      <w:tblPr>
        <w:tblStyle w:val="TableGrid"/>
        <w:tblW w:w="15304" w:type="dxa"/>
        <w:tblLook w:val="04A0" w:firstRow="1" w:lastRow="0" w:firstColumn="1" w:lastColumn="0" w:noHBand="0" w:noVBand="1"/>
      </w:tblPr>
      <w:tblGrid>
        <w:gridCol w:w="3249"/>
        <w:gridCol w:w="1410"/>
        <w:gridCol w:w="1543"/>
        <w:gridCol w:w="864"/>
        <w:gridCol w:w="962"/>
        <w:gridCol w:w="7276"/>
      </w:tblGrid>
      <w:tr w:rsidR="00FF5FB5" w:rsidRPr="00BF4D99" w14:paraId="0DC0A9E2" w14:textId="77777777" w:rsidTr="0D3AA324">
        <w:trPr>
          <w:tblHeader/>
        </w:trPr>
        <w:tc>
          <w:tcPr>
            <w:tcW w:w="3249" w:type="dxa"/>
            <w:shd w:val="clear" w:color="auto" w:fill="EC4F24"/>
          </w:tcPr>
          <w:p w14:paraId="70466026" w14:textId="77777777" w:rsidR="00FF5FB5" w:rsidRPr="00BB28D6" w:rsidRDefault="00FF5FB5" w:rsidP="004909F0">
            <w:pPr>
              <w:rPr>
                <w:rFonts w:ascii="Arial" w:hAnsi="Arial" w:cs="Arial"/>
                <w:b/>
                <w:color w:val="FFFFFF" w:themeColor="background1"/>
              </w:rPr>
            </w:pPr>
            <w:r w:rsidRPr="00BB28D6">
              <w:rPr>
                <w:rFonts w:ascii="Arial" w:hAnsi="Arial" w:cs="Arial"/>
                <w:b/>
                <w:color w:val="FFFFFF" w:themeColor="background1"/>
              </w:rPr>
              <w:t>Key projects/activities</w:t>
            </w:r>
          </w:p>
        </w:tc>
        <w:tc>
          <w:tcPr>
            <w:tcW w:w="1410" w:type="dxa"/>
            <w:shd w:val="clear" w:color="auto" w:fill="EC4F24"/>
          </w:tcPr>
          <w:p w14:paraId="56E38664" w14:textId="77777777" w:rsidR="00FF5FB5" w:rsidRPr="00BB28D6" w:rsidRDefault="00FF5FB5" w:rsidP="004909F0">
            <w:pPr>
              <w:rPr>
                <w:rFonts w:ascii="Arial" w:hAnsi="Arial" w:cs="Arial"/>
                <w:b/>
                <w:color w:val="FFFFFF" w:themeColor="background1"/>
              </w:rPr>
            </w:pPr>
            <w:r w:rsidRPr="00BB28D6">
              <w:rPr>
                <w:rFonts w:ascii="Arial" w:hAnsi="Arial" w:cs="Arial"/>
                <w:b/>
                <w:color w:val="FFFFFF" w:themeColor="background1"/>
              </w:rPr>
              <w:t>Timescales</w:t>
            </w:r>
          </w:p>
        </w:tc>
        <w:tc>
          <w:tcPr>
            <w:tcW w:w="1543" w:type="dxa"/>
            <w:shd w:val="clear" w:color="auto" w:fill="EC4F24"/>
          </w:tcPr>
          <w:p w14:paraId="71A79C71" w14:textId="77777777" w:rsidR="00FF5FB5" w:rsidRPr="00BB28D6" w:rsidRDefault="00FF5FB5" w:rsidP="004909F0">
            <w:pPr>
              <w:rPr>
                <w:rFonts w:ascii="Arial" w:hAnsi="Arial" w:cs="Arial"/>
                <w:b/>
                <w:color w:val="FFFFFF" w:themeColor="background1"/>
              </w:rPr>
            </w:pPr>
            <w:r w:rsidRPr="00BB28D6">
              <w:rPr>
                <w:rFonts w:ascii="Arial" w:hAnsi="Arial" w:cs="Arial"/>
                <w:b/>
                <w:color w:val="FFFFFF" w:themeColor="background1"/>
              </w:rPr>
              <w:t>Responsible Head of Service</w:t>
            </w:r>
          </w:p>
        </w:tc>
        <w:tc>
          <w:tcPr>
            <w:tcW w:w="864" w:type="dxa"/>
            <w:shd w:val="clear" w:color="auto" w:fill="EC4F24"/>
          </w:tcPr>
          <w:p w14:paraId="46298D64" w14:textId="77777777" w:rsidR="00FF5FB5" w:rsidRPr="00BB28D6" w:rsidRDefault="00FF5FB5" w:rsidP="004909F0">
            <w:pPr>
              <w:rPr>
                <w:rFonts w:ascii="Arial" w:hAnsi="Arial" w:cs="Arial"/>
                <w:b/>
                <w:color w:val="FFFFFF" w:themeColor="background1"/>
              </w:rPr>
            </w:pPr>
            <w:r w:rsidRPr="00BB28D6">
              <w:rPr>
                <w:rFonts w:ascii="Arial" w:hAnsi="Arial" w:cs="Arial"/>
                <w:b/>
                <w:color w:val="FFFFFF" w:themeColor="background1"/>
              </w:rPr>
              <w:t>Q1 RAG status</w:t>
            </w:r>
            <w:r w:rsidRPr="00BB28D6">
              <w:rPr>
                <w:rFonts w:ascii="Arial" w:hAnsi="Arial" w:cs="Arial"/>
                <w:b/>
                <w:color w:val="FFFFFF" w:themeColor="background1"/>
              </w:rPr>
              <w:tab/>
            </w:r>
          </w:p>
        </w:tc>
        <w:tc>
          <w:tcPr>
            <w:tcW w:w="962" w:type="dxa"/>
            <w:tcBorders>
              <w:bottom w:val="single" w:sz="4" w:space="0" w:color="auto"/>
            </w:tcBorders>
            <w:shd w:val="clear" w:color="auto" w:fill="EC4F24"/>
          </w:tcPr>
          <w:p w14:paraId="35D57A2C" w14:textId="1DA412CD" w:rsidR="00FF5FB5" w:rsidRPr="00BB28D6" w:rsidRDefault="00FF5FB5" w:rsidP="00FF5FB5">
            <w:pPr>
              <w:rPr>
                <w:rFonts w:ascii="Arial" w:hAnsi="Arial" w:cs="Arial"/>
                <w:b/>
                <w:color w:val="FFFFFF" w:themeColor="background1"/>
              </w:rPr>
            </w:pPr>
            <w:r w:rsidRPr="00BB28D6">
              <w:rPr>
                <w:rFonts w:ascii="Arial" w:hAnsi="Arial" w:cs="Arial"/>
                <w:b/>
                <w:color w:val="FFFFFF" w:themeColor="background1"/>
              </w:rPr>
              <w:t>Q</w:t>
            </w:r>
            <w:r>
              <w:rPr>
                <w:rFonts w:ascii="Arial" w:hAnsi="Arial" w:cs="Arial"/>
                <w:b/>
                <w:color w:val="FFFFFF" w:themeColor="background1"/>
              </w:rPr>
              <w:t>2</w:t>
            </w:r>
            <w:r w:rsidRPr="00BB28D6">
              <w:rPr>
                <w:rFonts w:ascii="Arial" w:hAnsi="Arial" w:cs="Arial"/>
                <w:b/>
                <w:color w:val="FFFFFF" w:themeColor="background1"/>
              </w:rPr>
              <w:t xml:space="preserve"> RAG status</w:t>
            </w:r>
          </w:p>
        </w:tc>
        <w:tc>
          <w:tcPr>
            <w:tcW w:w="7276" w:type="dxa"/>
            <w:tcBorders>
              <w:bottom w:val="single" w:sz="4" w:space="0" w:color="auto"/>
            </w:tcBorders>
            <w:shd w:val="clear" w:color="auto" w:fill="EC4F24"/>
          </w:tcPr>
          <w:p w14:paraId="4322165C" w14:textId="0A1C77E5" w:rsidR="00FF5FB5" w:rsidRPr="00BB28D6" w:rsidRDefault="007B4087" w:rsidP="00FF5FB5">
            <w:pPr>
              <w:rPr>
                <w:rFonts w:ascii="Arial" w:hAnsi="Arial" w:cs="Arial"/>
                <w:b/>
                <w:color w:val="FFFFFF" w:themeColor="background1"/>
              </w:rPr>
            </w:pPr>
            <w:r>
              <w:rPr>
                <w:rFonts w:ascii="Arial" w:hAnsi="Arial" w:cs="Arial"/>
                <w:b/>
                <w:color w:val="FFFFFF" w:themeColor="background1"/>
              </w:rPr>
              <w:t>C</w:t>
            </w:r>
            <w:r w:rsidRPr="00BB28D6">
              <w:rPr>
                <w:rFonts w:ascii="Arial" w:hAnsi="Arial" w:cs="Arial"/>
                <w:b/>
                <w:color w:val="FFFFFF" w:themeColor="background1"/>
              </w:rPr>
              <w:t>ommentary</w:t>
            </w:r>
            <w:r w:rsidR="00FF5FB5" w:rsidRPr="00BB28D6">
              <w:rPr>
                <w:rFonts w:ascii="Arial" w:hAnsi="Arial" w:cs="Arial"/>
                <w:b/>
                <w:color w:val="FFFFFF" w:themeColor="background1"/>
              </w:rPr>
              <w:t xml:space="preserve"> (and management action where red/amber)</w:t>
            </w:r>
          </w:p>
        </w:tc>
      </w:tr>
      <w:tr w:rsidR="009A71BD" w14:paraId="003D01DA" w14:textId="77777777" w:rsidTr="00CD24CE">
        <w:trPr>
          <w:trHeight w:val="1754"/>
        </w:trPr>
        <w:tc>
          <w:tcPr>
            <w:tcW w:w="3249" w:type="dxa"/>
            <w:vAlign w:val="center"/>
          </w:tcPr>
          <w:p w14:paraId="0510E248" w14:textId="283B351D" w:rsidR="009A71BD" w:rsidRDefault="009A71BD" w:rsidP="00CD24CE">
            <w:pPr>
              <w:spacing w:after="40"/>
              <w:rPr>
                <w:rFonts w:ascii="Arial" w:hAnsi="Arial" w:cs="Arial"/>
                <w:szCs w:val="24"/>
              </w:rPr>
            </w:pPr>
            <w:r w:rsidRPr="002E528C">
              <w:rPr>
                <w:rFonts w:ascii="Arial" w:hAnsi="Arial" w:cs="Arial"/>
                <w:b/>
                <w:szCs w:val="24"/>
              </w:rPr>
              <w:t>Deliver technology projects to provide improved digital platforms and self-service options</w:t>
            </w:r>
            <w:r w:rsidRPr="004F77F6">
              <w:rPr>
                <w:rFonts w:ascii="Arial" w:hAnsi="Arial" w:cs="Arial"/>
                <w:szCs w:val="24"/>
              </w:rPr>
              <w:t xml:space="preserve"> including:</w:t>
            </w:r>
          </w:p>
          <w:p w14:paraId="3341EA24" w14:textId="450FD5DE" w:rsidR="009A71BD" w:rsidRPr="009A71BD" w:rsidRDefault="009A71BD" w:rsidP="00CD24CE">
            <w:pPr>
              <w:pStyle w:val="ListParagraph"/>
              <w:numPr>
                <w:ilvl w:val="0"/>
                <w:numId w:val="3"/>
              </w:numPr>
              <w:ind w:left="318" w:hanging="318"/>
              <w:contextualSpacing w:val="0"/>
              <w:rPr>
                <w:rFonts w:ascii="Arial" w:hAnsi="Arial" w:cs="Arial"/>
                <w:szCs w:val="24"/>
              </w:rPr>
            </w:pPr>
            <w:r w:rsidRPr="00D52108">
              <w:rPr>
                <w:rFonts w:ascii="Arial" w:hAnsi="Arial" w:cs="Arial"/>
                <w:szCs w:val="24"/>
              </w:rPr>
              <w:t>implementation of the Arcus land and property system</w:t>
            </w:r>
          </w:p>
        </w:tc>
        <w:tc>
          <w:tcPr>
            <w:tcW w:w="1410" w:type="dxa"/>
            <w:vAlign w:val="center"/>
          </w:tcPr>
          <w:p w14:paraId="0D4DAA98" w14:textId="77777777" w:rsidR="009A71BD" w:rsidRDefault="009A71BD" w:rsidP="009A71BD">
            <w:pPr>
              <w:rPr>
                <w:rFonts w:ascii="Arial" w:hAnsi="Arial" w:cs="Arial"/>
                <w:szCs w:val="24"/>
              </w:rPr>
            </w:pPr>
          </w:p>
          <w:p w14:paraId="5CEBAE7F" w14:textId="77777777" w:rsidR="009A71BD" w:rsidRDefault="009A71BD" w:rsidP="009A71BD">
            <w:pPr>
              <w:rPr>
                <w:rFonts w:ascii="Arial" w:hAnsi="Arial" w:cs="Arial"/>
                <w:szCs w:val="24"/>
              </w:rPr>
            </w:pPr>
          </w:p>
          <w:p w14:paraId="6F001669" w14:textId="77777777" w:rsidR="009A71BD" w:rsidRDefault="009A71BD" w:rsidP="009A71BD">
            <w:pPr>
              <w:rPr>
                <w:rFonts w:ascii="Arial" w:hAnsi="Arial" w:cs="Arial"/>
                <w:szCs w:val="24"/>
              </w:rPr>
            </w:pPr>
          </w:p>
          <w:p w14:paraId="02C032E9" w14:textId="5C61E6ED" w:rsidR="009A71BD" w:rsidRPr="00733F7B" w:rsidRDefault="009A71BD" w:rsidP="00CD24CE">
            <w:pPr>
              <w:rPr>
                <w:rFonts w:ascii="Arial" w:hAnsi="Arial" w:cs="Arial"/>
              </w:rPr>
            </w:pPr>
            <w:r>
              <w:rPr>
                <w:rFonts w:ascii="Arial" w:hAnsi="Arial" w:cs="Arial"/>
                <w:szCs w:val="24"/>
              </w:rPr>
              <w:t>by M</w:t>
            </w:r>
            <w:r w:rsidR="00CD24CE">
              <w:rPr>
                <w:rFonts w:ascii="Arial" w:hAnsi="Arial" w:cs="Arial"/>
                <w:szCs w:val="24"/>
              </w:rPr>
              <w:t xml:space="preserve">ay </w:t>
            </w:r>
            <w:r>
              <w:rPr>
                <w:rFonts w:ascii="Arial" w:hAnsi="Arial" w:cs="Arial"/>
                <w:szCs w:val="24"/>
              </w:rPr>
              <w:t>2021</w:t>
            </w:r>
          </w:p>
        </w:tc>
        <w:tc>
          <w:tcPr>
            <w:tcW w:w="1543" w:type="dxa"/>
            <w:vAlign w:val="center"/>
          </w:tcPr>
          <w:p w14:paraId="226DC13B" w14:textId="2A985A59" w:rsidR="009A71BD" w:rsidRDefault="00CD24CE" w:rsidP="00E23BA1">
            <w:pPr>
              <w:rPr>
                <w:rFonts w:ascii="Arial" w:hAnsi="Arial" w:cs="Arial"/>
              </w:rPr>
            </w:pPr>
            <w:r>
              <w:rPr>
                <w:rFonts w:ascii="Arial" w:hAnsi="Arial" w:cs="Arial"/>
              </w:rPr>
              <w:t xml:space="preserve">Governance and Regulatory Services/ </w:t>
            </w:r>
            <w:r w:rsidR="0F470ABA" w:rsidRPr="0D3AA324">
              <w:rPr>
                <w:rFonts w:ascii="Arial" w:hAnsi="Arial" w:cs="Arial"/>
              </w:rPr>
              <w:t>Customer Operations</w:t>
            </w:r>
            <w:r w:rsidR="009A71BD" w:rsidRPr="0D3AA324">
              <w:rPr>
                <w:rFonts w:ascii="Arial" w:hAnsi="Arial" w:cs="Arial"/>
              </w:rP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C00000"/>
            <w:vAlign w:val="center"/>
          </w:tcPr>
          <w:p w14:paraId="679AAAD5" w14:textId="3FC9A7FC" w:rsidR="009A71BD" w:rsidRPr="00D52108" w:rsidRDefault="009A71BD" w:rsidP="009A71BD">
            <w:pPr>
              <w:jc w:val="center"/>
              <w:rPr>
                <w:rFonts w:ascii="Arial" w:hAnsi="Arial" w:cs="Arial"/>
              </w:rPr>
            </w:pPr>
            <w:r>
              <w:rPr>
                <w:rFonts w:ascii="Arial" w:hAnsi="Arial" w:cs="Arial"/>
              </w:rPr>
              <w:t>R</w:t>
            </w:r>
          </w:p>
        </w:tc>
        <w:tc>
          <w:tcPr>
            <w:tcW w:w="962" w:type="dxa"/>
            <w:tcBorders>
              <w:top w:val="single" w:sz="4" w:space="0" w:color="auto"/>
              <w:left w:val="single" w:sz="4" w:space="0" w:color="auto"/>
              <w:bottom w:val="single" w:sz="4" w:space="0" w:color="auto"/>
              <w:right w:val="single" w:sz="4" w:space="0" w:color="auto"/>
            </w:tcBorders>
            <w:shd w:val="clear" w:color="auto" w:fill="92D050"/>
            <w:vAlign w:val="center"/>
          </w:tcPr>
          <w:p w14:paraId="5595EECB" w14:textId="20DCF40A" w:rsidR="009A71BD" w:rsidRPr="008F6E40" w:rsidRDefault="00CD24CE" w:rsidP="009A71BD">
            <w:pPr>
              <w:jc w:val="center"/>
              <w:rPr>
                <w:rFonts w:ascii="Arial" w:hAnsi="Arial" w:cs="Arial"/>
              </w:rPr>
            </w:pPr>
            <w:r>
              <w:rPr>
                <w:rFonts w:ascii="Arial" w:hAnsi="Arial" w:cs="Arial"/>
              </w:rPr>
              <w:t>G</w:t>
            </w:r>
          </w:p>
        </w:tc>
        <w:tc>
          <w:tcPr>
            <w:tcW w:w="7276" w:type="dxa"/>
            <w:tcBorders>
              <w:top w:val="single" w:sz="4" w:space="0" w:color="auto"/>
              <w:left w:val="nil"/>
              <w:bottom w:val="single" w:sz="4" w:space="0" w:color="auto"/>
              <w:right w:val="single" w:sz="4" w:space="0" w:color="auto"/>
            </w:tcBorders>
            <w:shd w:val="clear" w:color="auto" w:fill="auto"/>
            <w:vAlign w:val="center"/>
          </w:tcPr>
          <w:p w14:paraId="6F900004" w14:textId="77777777" w:rsidR="00CD24CE" w:rsidRPr="00CD24CE" w:rsidRDefault="00CD24CE" w:rsidP="00CD24CE">
            <w:pPr>
              <w:rPr>
                <w:rFonts w:ascii="Arial" w:hAnsi="Arial" w:cs="Arial"/>
              </w:rPr>
            </w:pPr>
            <w:r w:rsidRPr="00CD24CE">
              <w:rPr>
                <w:rFonts w:ascii="Arial" w:hAnsi="Arial" w:cs="Arial"/>
              </w:rPr>
              <w:t>Phase 2 of the Arcus project delivery plan is on track for Planning and Land charges to go live in Q3 joining Building Control and completing the first stage of the project within the revised project plan timescales.</w:t>
            </w:r>
          </w:p>
          <w:p w14:paraId="33989947" w14:textId="59F6C9B5" w:rsidR="009A71BD" w:rsidRDefault="00CD24CE" w:rsidP="00CD24CE">
            <w:pPr>
              <w:rPr>
                <w:rFonts w:ascii="Arial" w:hAnsi="Arial" w:cs="Arial"/>
              </w:rPr>
            </w:pPr>
            <w:r w:rsidRPr="00CD24CE">
              <w:rPr>
                <w:rFonts w:ascii="Arial" w:hAnsi="Arial" w:cs="Arial"/>
              </w:rPr>
              <w:t>Work on the next phase - the Regulatory Services module focussing on delivery of the Environmental Health, food and protection elements of the module are on track to go live during Q4.</w:t>
            </w:r>
          </w:p>
        </w:tc>
      </w:tr>
      <w:tr w:rsidR="009A71BD" w14:paraId="0C5A94EE" w14:textId="77777777" w:rsidTr="0D3AA324">
        <w:trPr>
          <w:trHeight w:val="1408"/>
        </w:trPr>
        <w:tc>
          <w:tcPr>
            <w:tcW w:w="3249" w:type="dxa"/>
            <w:vAlign w:val="center"/>
          </w:tcPr>
          <w:p w14:paraId="31683AA3" w14:textId="34D218CD" w:rsidR="009A71BD" w:rsidRPr="00D52108" w:rsidRDefault="009A71BD" w:rsidP="009A71BD">
            <w:pPr>
              <w:pStyle w:val="ListParagraph"/>
              <w:numPr>
                <w:ilvl w:val="0"/>
                <w:numId w:val="2"/>
              </w:numPr>
              <w:ind w:left="317" w:hanging="317"/>
              <w:rPr>
                <w:rFonts w:ascii="Arial" w:hAnsi="Arial" w:cs="Arial"/>
                <w:b/>
                <w:szCs w:val="24"/>
              </w:rPr>
            </w:pPr>
            <w:r w:rsidRPr="00D52108">
              <w:rPr>
                <w:rFonts w:ascii="Arial" w:hAnsi="Arial" w:cs="Arial"/>
                <w:szCs w:val="24"/>
              </w:rPr>
              <w:t>purchase and implementation of a new finance, payroll and HR system</w:t>
            </w:r>
          </w:p>
        </w:tc>
        <w:tc>
          <w:tcPr>
            <w:tcW w:w="1410" w:type="dxa"/>
            <w:vAlign w:val="center"/>
          </w:tcPr>
          <w:p w14:paraId="069E5A08" w14:textId="102B0307" w:rsidR="009A71BD" w:rsidRDefault="009A71BD" w:rsidP="009A71BD">
            <w:pPr>
              <w:rPr>
                <w:rFonts w:ascii="Arial" w:hAnsi="Arial" w:cs="Arial"/>
                <w:szCs w:val="24"/>
              </w:rPr>
            </w:pPr>
            <w:r>
              <w:rPr>
                <w:rFonts w:ascii="Arial" w:hAnsi="Arial" w:cs="Arial"/>
                <w:szCs w:val="24"/>
              </w:rPr>
              <w:t>by March 2021</w:t>
            </w:r>
          </w:p>
        </w:tc>
        <w:tc>
          <w:tcPr>
            <w:tcW w:w="1543" w:type="dxa"/>
            <w:vAlign w:val="center"/>
          </w:tcPr>
          <w:p w14:paraId="03F09E15" w14:textId="6DFE870E" w:rsidR="009A71BD" w:rsidRDefault="009A71BD" w:rsidP="009A71BD">
            <w:pPr>
              <w:rPr>
                <w:rFonts w:ascii="Arial" w:hAnsi="Arial" w:cs="Arial"/>
                <w:szCs w:val="24"/>
              </w:rPr>
            </w:pPr>
            <w:r>
              <w:rPr>
                <w:rFonts w:ascii="Arial" w:hAnsi="Arial" w:cs="Arial"/>
                <w:szCs w:val="24"/>
              </w:rPr>
              <w:t>Finance and Property</w:t>
            </w:r>
          </w:p>
        </w:tc>
        <w:tc>
          <w:tcPr>
            <w:tcW w:w="86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0ED2F72" w14:textId="65A60AA7" w:rsidR="009A71BD" w:rsidRDefault="009A71BD" w:rsidP="009A71BD">
            <w:pPr>
              <w:jc w:val="center"/>
              <w:rPr>
                <w:rFonts w:ascii="Arial" w:hAnsi="Arial" w:cs="Arial"/>
              </w:rPr>
            </w:pPr>
            <w:r>
              <w:rPr>
                <w:rFonts w:ascii="Arial" w:hAnsi="Arial" w:cs="Arial"/>
              </w:rPr>
              <w:t>A</w:t>
            </w:r>
          </w:p>
        </w:tc>
        <w:tc>
          <w:tcPr>
            <w:tcW w:w="962" w:type="dxa"/>
            <w:tcBorders>
              <w:top w:val="single" w:sz="4" w:space="0" w:color="auto"/>
              <w:left w:val="single" w:sz="4" w:space="0" w:color="auto"/>
              <w:bottom w:val="single" w:sz="4" w:space="0" w:color="auto"/>
              <w:right w:val="single" w:sz="4" w:space="0" w:color="auto"/>
            </w:tcBorders>
            <w:shd w:val="clear" w:color="auto" w:fill="92D050"/>
            <w:vAlign w:val="center"/>
          </w:tcPr>
          <w:p w14:paraId="1220A5CB" w14:textId="6B64A6DA" w:rsidR="009A71BD" w:rsidRDefault="009A71BD" w:rsidP="009A71BD">
            <w:pPr>
              <w:jc w:val="center"/>
              <w:rPr>
                <w:rFonts w:ascii="Arial" w:hAnsi="Arial" w:cs="Arial"/>
              </w:rPr>
            </w:pPr>
            <w:r>
              <w:rPr>
                <w:rFonts w:ascii="Arial" w:hAnsi="Arial" w:cs="Arial"/>
              </w:rPr>
              <w:t>G</w:t>
            </w:r>
          </w:p>
        </w:tc>
        <w:tc>
          <w:tcPr>
            <w:tcW w:w="7276" w:type="dxa"/>
            <w:tcBorders>
              <w:top w:val="nil"/>
              <w:left w:val="nil"/>
              <w:bottom w:val="single" w:sz="4" w:space="0" w:color="auto"/>
              <w:right w:val="single" w:sz="4" w:space="0" w:color="auto"/>
            </w:tcBorders>
            <w:shd w:val="clear" w:color="auto" w:fill="auto"/>
            <w:vAlign w:val="center"/>
          </w:tcPr>
          <w:p w14:paraId="6641FB82" w14:textId="0F61EBB1" w:rsidR="009A71BD" w:rsidRDefault="009A71BD" w:rsidP="009A71BD">
            <w:pPr>
              <w:rPr>
                <w:rFonts w:ascii="Arial" w:hAnsi="Arial" w:cs="Arial"/>
              </w:rPr>
            </w:pPr>
            <w:r>
              <w:rPr>
                <w:rFonts w:ascii="Arial" w:hAnsi="Arial" w:cs="Arial"/>
                <w:color w:val="000000"/>
              </w:rPr>
              <w:t>A refreshed procurement process has taken place via G-Cloud 12. The project team continues to meet weekly to ensure that a report recommended the award of contract to a successful bidder will be brought to the Executive meeting in November.</w:t>
            </w:r>
          </w:p>
        </w:tc>
      </w:tr>
      <w:tr w:rsidR="009A71BD" w14:paraId="5E2B7E8C" w14:textId="77777777" w:rsidTr="0D3AA324">
        <w:trPr>
          <w:trHeight w:val="1420"/>
        </w:trPr>
        <w:tc>
          <w:tcPr>
            <w:tcW w:w="3249" w:type="dxa"/>
            <w:vAlign w:val="center"/>
          </w:tcPr>
          <w:p w14:paraId="3F7CBF7E" w14:textId="724E95AE" w:rsidR="009A71BD" w:rsidRPr="00215E6B" w:rsidRDefault="009A71BD" w:rsidP="009A71BD">
            <w:pPr>
              <w:rPr>
                <w:rFonts w:ascii="Arial" w:eastAsia="Times New Roman" w:hAnsi="Arial" w:cs="Arial"/>
                <w:color w:val="000000"/>
                <w:highlight w:val="lightGray"/>
                <w:lang w:eastAsia="en-GB"/>
              </w:rPr>
            </w:pPr>
            <w:r w:rsidRPr="00BB5C08">
              <w:rPr>
                <w:rFonts w:ascii="Arial" w:eastAsia="Times New Roman" w:hAnsi="Arial" w:cs="Arial"/>
                <w:b/>
                <w:color w:val="000000"/>
                <w:lang w:eastAsia="en-GB"/>
              </w:rPr>
              <w:t xml:space="preserve">Review the </w:t>
            </w:r>
            <w:r>
              <w:rPr>
                <w:rFonts w:ascii="Arial" w:eastAsia="Times New Roman" w:hAnsi="Arial" w:cs="Arial"/>
                <w:b/>
                <w:color w:val="000000"/>
                <w:lang w:eastAsia="en-GB"/>
              </w:rPr>
              <w:t xml:space="preserve">Council’s </w:t>
            </w:r>
            <w:r w:rsidRPr="00BB5C08">
              <w:rPr>
                <w:rFonts w:ascii="Arial" w:eastAsia="Times New Roman" w:hAnsi="Arial" w:cs="Arial"/>
                <w:b/>
                <w:color w:val="000000"/>
                <w:lang w:eastAsia="en-GB"/>
              </w:rPr>
              <w:t xml:space="preserve">Target Operating Model and </w:t>
            </w:r>
            <w:r>
              <w:rPr>
                <w:rFonts w:ascii="Arial" w:eastAsia="Times New Roman" w:hAnsi="Arial" w:cs="Arial"/>
                <w:b/>
                <w:color w:val="000000"/>
                <w:lang w:eastAsia="en-GB"/>
              </w:rPr>
              <w:t xml:space="preserve">working </w:t>
            </w:r>
            <w:r w:rsidRPr="00BB5C08">
              <w:rPr>
                <w:rFonts w:ascii="Arial" w:eastAsia="Times New Roman" w:hAnsi="Arial" w:cs="Arial"/>
                <w:b/>
                <w:color w:val="000000"/>
                <w:lang w:eastAsia="en-GB"/>
              </w:rPr>
              <w:t>practices</w:t>
            </w:r>
            <w:r w:rsidRPr="00BB5C08">
              <w:rPr>
                <w:rFonts w:ascii="Arial" w:eastAsia="Times New Roman" w:hAnsi="Arial" w:cs="Arial"/>
                <w:color w:val="000000"/>
                <w:lang w:eastAsia="en-GB"/>
              </w:rPr>
              <w:t xml:space="preserve"> </w:t>
            </w:r>
            <w:r>
              <w:rPr>
                <w:rFonts w:ascii="Arial" w:eastAsia="Times New Roman" w:hAnsi="Arial" w:cs="Arial"/>
                <w:color w:val="000000"/>
                <w:lang w:eastAsia="en-GB"/>
              </w:rPr>
              <w:t xml:space="preserve">as part of our </w:t>
            </w:r>
            <w:r w:rsidRPr="00BA3095">
              <w:rPr>
                <w:rFonts w:ascii="Arial" w:eastAsia="Times New Roman" w:hAnsi="Arial" w:cs="Arial"/>
                <w:color w:val="000000"/>
                <w:lang w:eastAsia="en-GB"/>
              </w:rPr>
              <w:t xml:space="preserve">Recovery Strategy </w:t>
            </w:r>
          </w:p>
        </w:tc>
        <w:tc>
          <w:tcPr>
            <w:tcW w:w="1410" w:type="dxa"/>
            <w:vAlign w:val="center"/>
          </w:tcPr>
          <w:p w14:paraId="2FCB2090" w14:textId="0A2A7623" w:rsidR="009A71BD" w:rsidRPr="00971DF5" w:rsidRDefault="009A71BD" w:rsidP="009A71BD">
            <w:pPr>
              <w:rPr>
                <w:rFonts w:ascii="Arial" w:hAnsi="Arial" w:cs="Arial"/>
              </w:rPr>
            </w:pPr>
            <w:r>
              <w:rPr>
                <w:rFonts w:ascii="Arial" w:hAnsi="Arial" w:cs="Arial"/>
                <w:szCs w:val="24"/>
              </w:rPr>
              <w:t>from May 2020</w:t>
            </w:r>
          </w:p>
        </w:tc>
        <w:tc>
          <w:tcPr>
            <w:tcW w:w="1543" w:type="dxa"/>
            <w:vAlign w:val="center"/>
          </w:tcPr>
          <w:p w14:paraId="1EAD09BC" w14:textId="1A02DF7B" w:rsidR="009A71BD" w:rsidRPr="00971DF5" w:rsidRDefault="009A71BD" w:rsidP="009A71BD">
            <w:pPr>
              <w:rPr>
                <w:rFonts w:ascii="Arial" w:hAnsi="Arial" w:cs="Arial"/>
              </w:rPr>
            </w:pPr>
            <w:r>
              <w:rPr>
                <w:rFonts w:ascii="Arial" w:hAnsi="Arial" w:cs="Arial"/>
                <w:szCs w:val="24"/>
              </w:rPr>
              <w:t>Programmes and Projects</w:t>
            </w:r>
          </w:p>
        </w:tc>
        <w:tc>
          <w:tcPr>
            <w:tcW w:w="864" w:type="dxa"/>
            <w:tcBorders>
              <w:top w:val="single" w:sz="4" w:space="0" w:color="auto"/>
              <w:left w:val="single" w:sz="4" w:space="0" w:color="auto"/>
              <w:bottom w:val="single" w:sz="4" w:space="0" w:color="auto"/>
              <w:right w:val="single" w:sz="4" w:space="0" w:color="auto"/>
            </w:tcBorders>
            <w:shd w:val="clear" w:color="auto" w:fill="92D050"/>
            <w:vAlign w:val="center"/>
          </w:tcPr>
          <w:p w14:paraId="6F5B2778" w14:textId="42348584" w:rsidR="009A71BD" w:rsidRDefault="009A71BD" w:rsidP="009A71BD">
            <w:pPr>
              <w:jc w:val="center"/>
              <w:rPr>
                <w:rFonts w:ascii="Arial" w:hAnsi="Arial" w:cs="Arial"/>
              </w:rPr>
            </w:pPr>
            <w:r>
              <w:rPr>
                <w:rFonts w:ascii="Arial" w:hAnsi="Arial" w:cs="Arial"/>
              </w:rPr>
              <w:t>G</w:t>
            </w:r>
          </w:p>
        </w:tc>
        <w:tc>
          <w:tcPr>
            <w:tcW w:w="962" w:type="dxa"/>
            <w:tcBorders>
              <w:top w:val="single" w:sz="4" w:space="0" w:color="auto"/>
              <w:left w:val="single" w:sz="4" w:space="0" w:color="auto"/>
              <w:bottom w:val="single" w:sz="4" w:space="0" w:color="auto"/>
              <w:right w:val="single" w:sz="4" w:space="0" w:color="auto"/>
            </w:tcBorders>
            <w:shd w:val="clear" w:color="auto" w:fill="92D050"/>
            <w:vAlign w:val="center"/>
          </w:tcPr>
          <w:p w14:paraId="213C3ED1" w14:textId="4624697F" w:rsidR="009A71BD" w:rsidRDefault="009A71BD" w:rsidP="009A71BD">
            <w:pPr>
              <w:jc w:val="center"/>
              <w:rPr>
                <w:rFonts w:ascii="Arial" w:hAnsi="Arial" w:cs="Arial"/>
              </w:rPr>
            </w:pPr>
            <w:r>
              <w:rPr>
                <w:rFonts w:ascii="Arial" w:hAnsi="Arial" w:cs="Arial"/>
              </w:rPr>
              <w:t>G</w:t>
            </w:r>
          </w:p>
        </w:tc>
        <w:tc>
          <w:tcPr>
            <w:tcW w:w="7276" w:type="dxa"/>
            <w:tcBorders>
              <w:top w:val="nil"/>
              <w:left w:val="nil"/>
              <w:bottom w:val="single" w:sz="4" w:space="0" w:color="auto"/>
              <w:right w:val="single" w:sz="4" w:space="0" w:color="auto"/>
            </w:tcBorders>
            <w:shd w:val="clear" w:color="auto" w:fill="auto"/>
            <w:vAlign w:val="center"/>
          </w:tcPr>
          <w:p w14:paraId="17060CF3" w14:textId="21311064" w:rsidR="009A71BD" w:rsidRDefault="009A71BD" w:rsidP="009A71BD">
            <w:pPr>
              <w:rPr>
                <w:rFonts w:ascii="Arial" w:hAnsi="Arial" w:cs="Arial"/>
              </w:rPr>
            </w:pPr>
            <w:r>
              <w:rPr>
                <w:rFonts w:ascii="Arial" w:hAnsi="Arial" w:cs="Arial"/>
                <w:color w:val="000000"/>
              </w:rPr>
              <w:t>Continued support for remote working in almost all services including providing appropriate equipment, devices and increased use of cloud-based technology. The Programme Office has successfully attracted additional resources through internal secondments and recruitment of project managers to deliver a range of projects to modernise our approach to recruitment and development of staff, increase the flexibility of our workforce so that we can respond better to changing priorities and to develop a plan for our offices and other properties.</w:t>
            </w:r>
          </w:p>
        </w:tc>
      </w:tr>
      <w:tr w:rsidR="009A71BD" w14:paraId="0373C5FC" w14:textId="77777777" w:rsidTr="0D3AA324">
        <w:trPr>
          <w:trHeight w:val="669"/>
        </w:trPr>
        <w:tc>
          <w:tcPr>
            <w:tcW w:w="3249" w:type="dxa"/>
            <w:vAlign w:val="center"/>
          </w:tcPr>
          <w:p w14:paraId="45A2AA82" w14:textId="0D7D7653" w:rsidR="009A71BD" w:rsidRPr="00E24403" w:rsidRDefault="009A71BD" w:rsidP="009A71BD">
            <w:pPr>
              <w:rPr>
                <w:rFonts w:ascii="Arial" w:eastAsia="Times New Roman" w:hAnsi="Arial" w:cs="Arial"/>
                <w:color w:val="000000"/>
                <w:lang w:eastAsia="en-GB"/>
              </w:rPr>
            </w:pPr>
            <w:r w:rsidRPr="002E528C">
              <w:rPr>
                <w:rFonts w:ascii="Arial" w:eastAsia="Times New Roman" w:hAnsi="Arial" w:cs="Arial"/>
                <w:b/>
                <w:color w:val="000000"/>
                <w:szCs w:val="20"/>
                <w:lang w:eastAsia="en-GB"/>
              </w:rPr>
              <w:t>Continue a programme of service reviews across the council</w:t>
            </w:r>
            <w:r w:rsidRPr="004F77F6">
              <w:rPr>
                <w:rFonts w:ascii="Arial" w:eastAsia="Times New Roman" w:hAnsi="Arial" w:cs="Arial"/>
                <w:color w:val="000000"/>
                <w:szCs w:val="20"/>
                <w:lang w:eastAsia="en-GB"/>
              </w:rPr>
              <w:t xml:space="preserve"> looking at cost, quality and delivery mechanisms (building in learning from </w:t>
            </w:r>
            <w:r w:rsidRPr="004F77F6">
              <w:rPr>
                <w:rFonts w:ascii="Arial" w:eastAsia="Times New Roman" w:hAnsi="Arial" w:cs="Arial"/>
                <w:color w:val="000000"/>
                <w:szCs w:val="20"/>
                <w:lang w:eastAsia="en-GB"/>
              </w:rPr>
              <w:lastRenderedPageBreak/>
              <w:t>operating during the pandemic)</w:t>
            </w:r>
          </w:p>
        </w:tc>
        <w:tc>
          <w:tcPr>
            <w:tcW w:w="1410" w:type="dxa"/>
            <w:vAlign w:val="center"/>
          </w:tcPr>
          <w:p w14:paraId="0C741B6A" w14:textId="7F69920A" w:rsidR="009A71BD" w:rsidRDefault="009A71BD" w:rsidP="009A71BD">
            <w:pPr>
              <w:rPr>
                <w:rFonts w:ascii="Arial" w:hAnsi="Arial" w:cs="Arial"/>
              </w:rPr>
            </w:pPr>
            <w:r>
              <w:rPr>
                <w:rFonts w:ascii="Arial" w:hAnsi="Arial" w:cs="Arial"/>
              </w:rPr>
              <w:lastRenderedPageBreak/>
              <w:t>from May 2020</w:t>
            </w:r>
          </w:p>
        </w:tc>
        <w:tc>
          <w:tcPr>
            <w:tcW w:w="1543" w:type="dxa"/>
            <w:vAlign w:val="center"/>
          </w:tcPr>
          <w:p w14:paraId="5D4C7158" w14:textId="10147E00" w:rsidR="009A71BD" w:rsidRDefault="009A71BD" w:rsidP="009A71BD">
            <w:pPr>
              <w:rPr>
                <w:rFonts w:ascii="Arial" w:hAnsi="Arial" w:cs="Arial"/>
              </w:rPr>
            </w:pPr>
            <w:r>
              <w:rPr>
                <w:rFonts w:ascii="Arial" w:hAnsi="Arial" w:cs="Arial"/>
              </w:rPr>
              <w:t>Programmes and Projects</w:t>
            </w:r>
          </w:p>
        </w:tc>
        <w:tc>
          <w:tcPr>
            <w:tcW w:w="864" w:type="dxa"/>
            <w:tcBorders>
              <w:top w:val="single" w:sz="4" w:space="0" w:color="auto"/>
              <w:left w:val="single" w:sz="4" w:space="0" w:color="auto"/>
              <w:bottom w:val="single" w:sz="4" w:space="0" w:color="auto"/>
              <w:right w:val="single" w:sz="4" w:space="0" w:color="auto"/>
            </w:tcBorders>
            <w:shd w:val="clear" w:color="auto" w:fill="92D050"/>
            <w:vAlign w:val="center"/>
          </w:tcPr>
          <w:p w14:paraId="58A533E1" w14:textId="2F86A364" w:rsidR="009A71BD" w:rsidRDefault="009A71BD" w:rsidP="009A71BD">
            <w:pPr>
              <w:jc w:val="center"/>
              <w:rPr>
                <w:rFonts w:ascii="Arial" w:hAnsi="Arial" w:cs="Arial"/>
              </w:rPr>
            </w:pPr>
            <w:r>
              <w:rPr>
                <w:rFonts w:ascii="Arial" w:hAnsi="Arial" w:cs="Arial"/>
              </w:rPr>
              <w:t>G</w:t>
            </w:r>
          </w:p>
        </w:tc>
        <w:tc>
          <w:tcPr>
            <w:tcW w:w="962" w:type="dxa"/>
            <w:tcBorders>
              <w:top w:val="single" w:sz="4" w:space="0" w:color="auto"/>
              <w:left w:val="single" w:sz="4" w:space="0" w:color="auto"/>
              <w:bottom w:val="single" w:sz="4" w:space="0" w:color="auto"/>
              <w:right w:val="single" w:sz="4" w:space="0" w:color="auto"/>
            </w:tcBorders>
            <w:shd w:val="clear" w:color="auto" w:fill="92D050"/>
            <w:vAlign w:val="center"/>
          </w:tcPr>
          <w:p w14:paraId="44BF2563" w14:textId="0EFB8329" w:rsidR="009A71BD" w:rsidRDefault="009A71BD" w:rsidP="009A71BD">
            <w:pPr>
              <w:jc w:val="center"/>
              <w:rPr>
                <w:rFonts w:ascii="Arial" w:hAnsi="Arial" w:cs="Arial"/>
              </w:rPr>
            </w:pPr>
            <w:r>
              <w:rPr>
                <w:rFonts w:ascii="Arial" w:hAnsi="Arial" w:cs="Arial"/>
              </w:rPr>
              <w:t>G</w:t>
            </w:r>
          </w:p>
        </w:tc>
        <w:tc>
          <w:tcPr>
            <w:tcW w:w="7276" w:type="dxa"/>
            <w:tcBorders>
              <w:top w:val="nil"/>
              <w:left w:val="nil"/>
              <w:bottom w:val="single" w:sz="4" w:space="0" w:color="auto"/>
              <w:right w:val="single" w:sz="4" w:space="0" w:color="auto"/>
            </w:tcBorders>
            <w:shd w:val="clear" w:color="auto" w:fill="auto"/>
            <w:vAlign w:val="center"/>
          </w:tcPr>
          <w:p w14:paraId="54C422B1" w14:textId="2E18EE5F" w:rsidR="009A71BD" w:rsidRDefault="009A71BD" w:rsidP="009A71BD">
            <w:pPr>
              <w:rPr>
                <w:rFonts w:ascii="Arial" w:hAnsi="Arial" w:cs="Arial"/>
              </w:rPr>
            </w:pPr>
            <w:r>
              <w:rPr>
                <w:rFonts w:ascii="Arial" w:hAnsi="Arial" w:cs="Arial"/>
                <w:color w:val="000000"/>
              </w:rPr>
              <w:t>Building on work already completed, we have recruited a Performance and Insight Project Manager to conduct detailed reviews of services and then use that data and evidence to help improve work processes and develop a meaningful performance management framework to measure our effectiveness. Initial work will focus on waste services, parking and community services.</w:t>
            </w:r>
          </w:p>
        </w:tc>
      </w:tr>
      <w:tr w:rsidR="009A71BD" w14:paraId="64E2EE09" w14:textId="77777777" w:rsidTr="006B7077">
        <w:trPr>
          <w:trHeight w:val="1405"/>
        </w:trPr>
        <w:tc>
          <w:tcPr>
            <w:tcW w:w="3249" w:type="dxa"/>
            <w:vAlign w:val="center"/>
          </w:tcPr>
          <w:p w14:paraId="0B7EF452" w14:textId="6281F175" w:rsidR="009A71BD" w:rsidRPr="00733F7B" w:rsidRDefault="009A71BD" w:rsidP="009A71BD">
            <w:pPr>
              <w:rPr>
                <w:rFonts w:ascii="Arial" w:eastAsia="Times New Roman" w:hAnsi="Arial" w:cs="Arial"/>
                <w:color w:val="000000"/>
                <w:lang w:eastAsia="en-GB"/>
              </w:rPr>
            </w:pPr>
            <w:r w:rsidRPr="002E528C">
              <w:rPr>
                <w:rFonts w:ascii="Arial" w:hAnsi="Arial" w:cs="Arial"/>
                <w:b/>
                <w:szCs w:val="24"/>
              </w:rPr>
              <w:t>Ensure Allerdale Waste Services is delivering</w:t>
            </w:r>
            <w:r w:rsidRPr="004F77F6">
              <w:rPr>
                <w:rFonts w:ascii="Arial" w:hAnsi="Arial" w:cs="Arial"/>
                <w:szCs w:val="24"/>
              </w:rPr>
              <w:t xml:space="preserve"> against performance targets</w:t>
            </w:r>
          </w:p>
        </w:tc>
        <w:tc>
          <w:tcPr>
            <w:tcW w:w="1410" w:type="dxa"/>
            <w:vAlign w:val="center"/>
          </w:tcPr>
          <w:p w14:paraId="206FA1DE" w14:textId="14EF490C" w:rsidR="009A71BD" w:rsidRPr="00215E6B" w:rsidRDefault="009A71BD" w:rsidP="009A71BD">
            <w:pPr>
              <w:rPr>
                <w:rFonts w:ascii="Arial" w:hAnsi="Arial" w:cs="Arial"/>
                <w:highlight w:val="lightGray"/>
              </w:rPr>
            </w:pPr>
            <w:r w:rsidRPr="0009728E">
              <w:rPr>
                <w:rFonts w:ascii="Arial" w:hAnsi="Arial" w:cs="Arial"/>
                <w:szCs w:val="24"/>
              </w:rPr>
              <w:t>from April 2020</w:t>
            </w:r>
          </w:p>
        </w:tc>
        <w:tc>
          <w:tcPr>
            <w:tcW w:w="1543" w:type="dxa"/>
            <w:vAlign w:val="center"/>
          </w:tcPr>
          <w:p w14:paraId="75A17E56" w14:textId="3AD206A2" w:rsidR="009A71BD" w:rsidRPr="00215E6B" w:rsidRDefault="009A71BD" w:rsidP="009A71BD">
            <w:pPr>
              <w:rPr>
                <w:rFonts w:ascii="Arial" w:hAnsi="Arial" w:cs="Arial"/>
                <w:highlight w:val="lightGray"/>
              </w:rPr>
            </w:pPr>
            <w:r>
              <w:rPr>
                <w:rFonts w:ascii="Arial" w:hAnsi="Arial" w:cs="Arial"/>
                <w:szCs w:val="24"/>
              </w:rPr>
              <w:t>Finance and Property</w:t>
            </w:r>
          </w:p>
        </w:tc>
        <w:tc>
          <w:tcPr>
            <w:tcW w:w="864" w:type="dxa"/>
            <w:tcBorders>
              <w:top w:val="nil"/>
              <w:left w:val="single" w:sz="4" w:space="0" w:color="auto"/>
              <w:bottom w:val="single" w:sz="4" w:space="0" w:color="auto"/>
              <w:right w:val="single" w:sz="4" w:space="0" w:color="auto"/>
            </w:tcBorders>
            <w:shd w:val="clear" w:color="auto" w:fill="92D050"/>
            <w:vAlign w:val="center"/>
          </w:tcPr>
          <w:p w14:paraId="4F78AE64" w14:textId="0CB1ACF7" w:rsidR="009A71BD" w:rsidRDefault="009A71BD" w:rsidP="009A71BD">
            <w:pPr>
              <w:jc w:val="center"/>
              <w:rPr>
                <w:rFonts w:ascii="Arial" w:hAnsi="Arial" w:cs="Arial"/>
              </w:rPr>
            </w:pPr>
            <w:r>
              <w:rPr>
                <w:rFonts w:ascii="Arial" w:hAnsi="Arial" w:cs="Arial"/>
              </w:rPr>
              <w:t>G</w:t>
            </w:r>
          </w:p>
        </w:tc>
        <w:tc>
          <w:tcPr>
            <w:tcW w:w="962" w:type="dxa"/>
            <w:tcBorders>
              <w:top w:val="single" w:sz="4" w:space="0" w:color="auto"/>
              <w:left w:val="nil"/>
              <w:bottom w:val="single" w:sz="4" w:space="0" w:color="auto"/>
              <w:right w:val="single" w:sz="4" w:space="0" w:color="auto"/>
            </w:tcBorders>
            <w:shd w:val="clear" w:color="auto" w:fill="92D050"/>
            <w:vAlign w:val="center"/>
          </w:tcPr>
          <w:p w14:paraId="3F154811" w14:textId="548AA04C" w:rsidR="009A71BD" w:rsidRDefault="006B7077" w:rsidP="006B7077">
            <w:pPr>
              <w:jc w:val="center"/>
              <w:rPr>
                <w:rFonts w:ascii="Arial" w:hAnsi="Arial" w:cs="Arial"/>
              </w:rPr>
            </w:pPr>
            <w:r>
              <w:rPr>
                <w:rFonts w:ascii="Arial" w:hAnsi="Arial" w:cs="Arial"/>
              </w:rPr>
              <w:t>G</w:t>
            </w:r>
          </w:p>
        </w:tc>
        <w:tc>
          <w:tcPr>
            <w:tcW w:w="7276" w:type="dxa"/>
            <w:tcBorders>
              <w:top w:val="single" w:sz="4" w:space="0" w:color="auto"/>
              <w:left w:val="single" w:sz="4" w:space="0" w:color="auto"/>
              <w:bottom w:val="single" w:sz="4" w:space="0" w:color="auto"/>
              <w:right w:val="single" w:sz="4" w:space="0" w:color="auto"/>
            </w:tcBorders>
            <w:shd w:val="clear" w:color="auto" w:fill="auto"/>
            <w:vAlign w:val="center"/>
          </w:tcPr>
          <w:p w14:paraId="63C703A0" w14:textId="39AF2CCC" w:rsidR="009A71BD" w:rsidRDefault="009A71BD" w:rsidP="0017434E">
            <w:pPr>
              <w:rPr>
                <w:rFonts w:ascii="Arial" w:hAnsi="Arial" w:cs="Arial"/>
              </w:rPr>
            </w:pPr>
            <w:r>
              <w:rPr>
                <w:rFonts w:ascii="Arial" w:hAnsi="Arial" w:cs="Arial"/>
              </w:rPr>
              <w:t>Work is ongoing in this area with the number of reported justified missed collections consistently coming in close to the target of no more than 80 reported justified missed collections per 100,000 collections. Work continues to reduce the number of defined hot spot properties that continue to pose a challenge. Hot spot properties are homes that are classed as being justified as missed on more than 2 occasions in a 6 week period, or where an assisted collection customer is classed as being justified as missed on 1 occasion.</w:t>
            </w:r>
          </w:p>
        </w:tc>
      </w:tr>
    </w:tbl>
    <w:p w14:paraId="5AFAA2E3" w14:textId="229E8BC3" w:rsidR="004909F0" w:rsidRDefault="004909F0" w:rsidP="001D4F6B">
      <w:pPr>
        <w:tabs>
          <w:tab w:val="left" w:pos="1134"/>
        </w:tabs>
        <w:rPr>
          <w:rFonts w:ascii="Arial" w:hAnsi="Arial" w:cs="Arial"/>
          <w:bCs/>
          <w:sz w:val="24"/>
          <w:szCs w:val="24"/>
        </w:rPr>
      </w:pPr>
      <w:r>
        <w:t xml:space="preserve"> </w:t>
      </w:r>
    </w:p>
    <w:tbl>
      <w:tblPr>
        <w:tblStyle w:val="TableGrid"/>
        <w:tblW w:w="15304" w:type="dxa"/>
        <w:tblLayout w:type="fixed"/>
        <w:tblLook w:val="04A0" w:firstRow="1" w:lastRow="0" w:firstColumn="1" w:lastColumn="0" w:noHBand="0" w:noVBand="1"/>
      </w:tblPr>
      <w:tblGrid>
        <w:gridCol w:w="3964"/>
        <w:gridCol w:w="1134"/>
        <w:gridCol w:w="993"/>
        <w:gridCol w:w="992"/>
        <w:gridCol w:w="828"/>
        <w:gridCol w:w="1156"/>
        <w:gridCol w:w="6237"/>
      </w:tblGrid>
      <w:tr w:rsidR="00FF5FB5" w:rsidRPr="002E7893" w14:paraId="68AAB6A0" w14:textId="77777777" w:rsidTr="2D652033">
        <w:trPr>
          <w:trHeight w:val="521"/>
        </w:trPr>
        <w:tc>
          <w:tcPr>
            <w:tcW w:w="3964" w:type="dxa"/>
            <w:shd w:val="clear" w:color="auto" w:fill="EC4F24"/>
            <w:vAlign w:val="center"/>
          </w:tcPr>
          <w:p w14:paraId="16FBBFA8" w14:textId="77777777" w:rsidR="00FF5FB5" w:rsidRPr="004909F0" w:rsidRDefault="00FF5FB5" w:rsidP="004909F0">
            <w:pPr>
              <w:tabs>
                <w:tab w:val="left" w:pos="1134"/>
              </w:tabs>
              <w:rPr>
                <w:rFonts w:ascii="Arial" w:hAnsi="Arial" w:cs="Arial"/>
                <w:b/>
                <w:bCs/>
                <w:szCs w:val="24"/>
              </w:rPr>
            </w:pPr>
            <w:r w:rsidRPr="004909F0">
              <w:rPr>
                <w:rFonts w:ascii="Arial" w:hAnsi="Arial" w:cs="Arial"/>
                <w:b/>
                <w:bCs/>
                <w:color w:val="FFFFFF" w:themeColor="background1"/>
                <w:szCs w:val="24"/>
              </w:rPr>
              <w:t>Key performance indicators</w:t>
            </w:r>
          </w:p>
        </w:tc>
        <w:tc>
          <w:tcPr>
            <w:tcW w:w="1134" w:type="dxa"/>
            <w:shd w:val="clear" w:color="auto" w:fill="EC4F24"/>
            <w:vAlign w:val="center"/>
          </w:tcPr>
          <w:p w14:paraId="52F44F6B" w14:textId="2202B476" w:rsidR="00FF5FB5" w:rsidRPr="004909F0" w:rsidRDefault="00FF5FB5" w:rsidP="00791AA7">
            <w:pPr>
              <w:tabs>
                <w:tab w:val="left" w:pos="1173"/>
              </w:tabs>
              <w:jc w:val="center"/>
              <w:rPr>
                <w:rFonts w:ascii="Arial" w:hAnsi="Arial" w:cs="Arial"/>
                <w:b/>
                <w:bCs/>
                <w:color w:val="FFFFFF" w:themeColor="background1"/>
                <w:szCs w:val="24"/>
              </w:rPr>
            </w:pPr>
            <w:r>
              <w:rPr>
                <w:rFonts w:ascii="Arial" w:hAnsi="Arial" w:cs="Arial"/>
                <w:b/>
                <w:bCs/>
                <w:color w:val="FFFFFF" w:themeColor="background1"/>
                <w:szCs w:val="24"/>
              </w:rPr>
              <w:t>2019/20 actual</w:t>
            </w:r>
          </w:p>
        </w:tc>
        <w:tc>
          <w:tcPr>
            <w:tcW w:w="993" w:type="dxa"/>
            <w:shd w:val="clear" w:color="auto" w:fill="EC4F24"/>
          </w:tcPr>
          <w:p w14:paraId="0197AF57" w14:textId="77777777" w:rsidR="00FF5FB5" w:rsidRPr="004909F0" w:rsidRDefault="00FF5FB5" w:rsidP="004909F0">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Q1 actual</w:t>
            </w:r>
          </w:p>
        </w:tc>
        <w:tc>
          <w:tcPr>
            <w:tcW w:w="992" w:type="dxa"/>
            <w:shd w:val="clear" w:color="auto" w:fill="EC4F24"/>
          </w:tcPr>
          <w:p w14:paraId="023E6735" w14:textId="7E47114C" w:rsidR="00FF5FB5" w:rsidRDefault="00FF5FB5" w:rsidP="00791AA7">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Q2 actual</w:t>
            </w:r>
          </w:p>
        </w:tc>
        <w:tc>
          <w:tcPr>
            <w:tcW w:w="828" w:type="dxa"/>
            <w:shd w:val="clear" w:color="auto" w:fill="EC4F24"/>
          </w:tcPr>
          <w:p w14:paraId="332E4C90" w14:textId="14E3CD0F" w:rsidR="00FF5FB5" w:rsidRPr="004909F0" w:rsidRDefault="00FF5FB5" w:rsidP="00791AA7">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 xml:space="preserve">Trend </w:t>
            </w:r>
          </w:p>
        </w:tc>
        <w:tc>
          <w:tcPr>
            <w:tcW w:w="1156" w:type="dxa"/>
            <w:shd w:val="clear" w:color="auto" w:fill="EC4F24"/>
          </w:tcPr>
          <w:p w14:paraId="123BED62" w14:textId="059AEA23" w:rsidR="00FF5FB5" w:rsidRPr="004909F0" w:rsidRDefault="00FF5FB5" w:rsidP="00A754B8">
            <w:pPr>
              <w:tabs>
                <w:tab w:val="left" w:pos="1134"/>
              </w:tabs>
              <w:jc w:val="center"/>
              <w:rPr>
                <w:rFonts w:ascii="Arial" w:hAnsi="Arial" w:cs="Arial"/>
                <w:b/>
                <w:bCs/>
                <w:color w:val="FFFFFF" w:themeColor="background1"/>
                <w:szCs w:val="24"/>
              </w:rPr>
            </w:pPr>
            <w:r w:rsidRPr="004909F0">
              <w:rPr>
                <w:rFonts w:ascii="Arial" w:hAnsi="Arial" w:cs="Arial"/>
                <w:b/>
                <w:bCs/>
                <w:color w:val="FFFFFF" w:themeColor="background1"/>
                <w:szCs w:val="24"/>
              </w:rPr>
              <w:t xml:space="preserve"> Target </w:t>
            </w:r>
            <w:r w:rsidR="00A754B8">
              <w:rPr>
                <w:rFonts w:ascii="Arial" w:hAnsi="Arial" w:cs="Arial"/>
                <w:b/>
                <w:bCs/>
                <w:color w:val="FFFFFF" w:themeColor="background1"/>
                <w:szCs w:val="24"/>
              </w:rPr>
              <w:t>Q2</w:t>
            </w:r>
          </w:p>
        </w:tc>
        <w:tc>
          <w:tcPr>
            <w:tcW w:w="6237" w:type="dxa"/>
            <w:shd w:val="clear" w:color="auto" w:fill="EC4F24"/>
          </w:tcPr>
          <w:p w14:paraId="200E8901" w14:textId="77777777" w:rsidR="00FF5FB5" w:rsidRPr="004909F0" w:rsidRDefault="00FF5FB5" w:rsidP="00610C11">
            <w:pPr>
              <w:tabs>
                <w:tab w:val="left" w:pos="1134"/>
              </w:tabs>
              <w:rPr>
                <w:rFonts w:ascii="Arial" w:hAnsi="Arial" w:cs="Arial"/>
                <w:b/>
                <w:bCs/>
                <w:color w:val="FFFFFF" w:themeColor="background1"/>
                <w:szCs w:val="24"/>
              </w:rPr>
            </w:pPr>
            <w:r w:rsidRPr="004909F0">
              <w:rPr>
                <w:rFonts w:ascii="Arial" w:hAnsi="Arial" w:cs="Arial"/>
                <w:b/>
                <w:bCs/>
                <w:color w:val="FFFFFF" w:themeColor="background1"/>
                <w:szCs w:val="24"/>
              </w:rPr>
              <w:t>Progress and management action (where red/amber)</w:t>
            </w:r>
          </w:p>
        </w:tc>
      </w:tr>
      <w:tr w:rsidR="00FF5FB5" w:rsidRPr="002E7893" w14:paraId="35BF629E" w14:textId="77777777" w:rsidTr="2D652033">
        <w:trPr>
          <w:trHeight w:val="454"/>
        </w:trPr>
        <w:tc>
          <w:tcPr>
            <w:tcW w:w="3964" w:type="dxa"/>
            <w:vAlign w:val="center"/>
          </w:tcPr>
          <w:p w14:paraId="782D16B7" w14:textId="4FC06417" w:rsidR="00FF5FB5" w:rsidRPr="00D26961" w:rsidRDefault="00FF5FB5" w:rsidP="00DA117A">
            <w:pPr>
              <w:rPr>
                <w:rFonts w:ascii="Arial" w:eastAsia="Times New Roman" w:hAnsi="Arial" w:cs="Arial"/>
                <w:color w:val="000000"/>
                <w:szCs w:val="20"/>
                <w:lang w:eastAsia="en-GB"/>
              </w:rPr>
            </w:pPr>
            <w:r>
              <w:rPr>
                <w:rFonts w:ascii="Arial" w:hAnsi="Arial" w:cs="Arial"/>
              </w:rPr>
              <w:t>% of abandoned calls</w:t>
            </w:r>
          </w:p>
        </w:tc>
        <w:tc>
          <w:tcPr>
            <w:tcW w:w="1134" w:type="dxa"/>
            <w:vAlign w:val="center"/>
          </w:tcPr>
          <w:p w14:paraId="74CD52ED" w14:textId="6698F2B6" w:rsidR="00FF5FB5" w:rsidRPr="00791AA7" w:rsidRDefault="00FF5FB5" w:rsidP="00DA117A">
            <w:pPr>
              <w:spacing w:line="259" w:lineRule="auto"/>
              <w:jc w:val="center"/>
              <w:rPr>
                <w:rFonts w:ascii="Arial" w:hAnsi="Arial" w:cs="Arial"/>
              </w:rPr>
            </w:pPr>
            <w:r w:rsidRPr="00791AA7">
              <w:rPr>
                <w:rFonts w:ascii="Arial" w:hAnsi="Arial" w:cs="Arial"/>
              </w:rPr>
              <w:t>12%</w:t>
            </w:r>
          </w:p>
        </w:tc>
        <w:tc>
          <w:tcPr>
            <w:tcW w:w="993" w:type="dxa"/>
            <w:shd w:val="clear" w:color="auto" w:fill="92D050"/>
            <w:vAlign w:val="center"/>
          </w:tcPr>
          <w:p w14:paraId="03F35665" w14:textId="37AF2DCA" w:rsidR="00FF5FB5" w:rsidRPr="1182FF59" w:rsidRDefault="00FF5FB5" w:rsidP="00DA117A">
            <w:pPr>
              <w:jc w:val="center"/>
              <w:rPr>
                <w:rFonts w:ascii="Arial" w:hAnsi="Arial" w:cs="Arial"/>
              </w:rPr>
            </w:pPr>
            <w:r>
              <w:rPr>
                <w:rFonts w:ascii="Arial" w:hAnsi="Arial" w:cs="Arial"/>
              </w:rPr>
              <w:t>4%</w:t>
            </w:r>
          </w:p>
        </w:tc>
        <w:tc>
          <w:tcPr>
            <w:tcW w:w="992" w:type="dxa"/>
            <w:shd w:val="clear" w:color="auto" w:fill="92D050"/>
            <w:vAlign w:val="center"/>
          </w:tcPr>
          <w:p w14:paraId="20B43E3D" w14:textId="5D1DAE04" w:rsidR="00FF5FB5" w:rsidRPr="00A754B8" w:rsidRDefault="00A754B8" w:rsidP="00A754B8">
            <w:pPr>
              <w:jc w:val="center"/>
              <w:rPr>
                <w:rFonts w:ascii="Arial" w:hAnsi="Arial" w:cs="Arial"/>
              </w:rPr>
            </w:pPr>
            <w:r>
              <w:rPr>
                <w:rFonts w:ascii="Arial" w:hAnsi="Arial" w:cs="Arial"/>
              </w:rPr>
              <w:t>5%</w:t>
            </w:r>
          </w:p>
        </w:tc>
        <w:tc>
          <w:tcPr>
            <w:tcW w:w="828" w:type="dxa"/>
            <w:vAlign w:val="center"/>
          </w:tcPr>
          <w:p w14:paraId="294623C1" w14:textId="4E1474D3" w:rsidR="00FF5FB5" w:rsidRPr="00FF5FB5" w:rsidRDefault="00A754B8" w:rsidP="00DA117A">
            <w:pPr>
              <w:jc w:val="center"/>
              <w:rPr>
                <w:rFonts w:ascii="Arial" w:hAnsi="Arial" w:cs="Arial"/>
                <w:highlight w:val="yellow"/>
              </w:rPr>
            </w:pPr>
            <w:r w:rsidRPr="00A754B8">
              <w:rPr>
                <w:rFonts w:ascii="Wingdings 3" w:eastAsia="Wingdings 3" w:hAnsi="Wingdings 3" w:cs="Wingdings 3"/>
                <w:sz w:val="32"/>
                <w:szCs w:val="21"/>
              </w:rPr>
              <w:t></w:t>
            </w:r>
          </w:p>
        </w:tc>
        <w:tc>
          <w:tcPr>
            <w:tcW w:w="1156" w:type="dxa"/>
            <w:vAlign w:val="center"/>
          </w:tcPr>
          <w:p w14:paraId="02D66C66" w14:textId="38FE02AE" w:rsidR="00FF5FB5" w:rsidRPr="1182FF59" w:rsidRDefault="00FF5FB5" w:rsidP="00DA117A">
            <w:pPr>
              <w:jc w:val="center"/>
              <w:rPr>
                <w:rFonts w:ascii="Arial" w:hAnsi="Arial" w:cs="Arial"/>
              </w:rPr>
            </w:pPr>
            <w:r>
              <w:rPr>
                <w:rFonts w:ascii="Arial" w:hAnsi="Arial" w:cs="Arial"/>
              </w:rPr>
              <w:t>7%</w:t>
            </w:r>
          </w:p>
        </w:tc>
        <w:tc>
          <w:tcPr>
            <w:tcW w:w="6237" w:type="dxa"/>
            <w:vAlign w:val="center"/>
          </w:tcPr>
          <w:p w14:paraId="77092AE4" w14:textId="09DD41BA" w:rsidR="00FF5FB5" w:rsidRPr="1182FF59" w:rsidRDefault="00FF5FB5" w:rsidP="00D93F4B">
            <w:pPr>
              <w:rPr>
                <w:rFonts w:ascii="Arial" w:hAnsi="Arial" w:cs="Arial"/>
              </w:rPr>
            </w:pPr>
            <w:r>
              <w:rPr>
                <w:rFonts w:ascii="Arial" w:hAnsi="Arial" w:cs="Arial"/>
              </w:rPr>
              <w:t>Significant improvement on the previous year’s performance with the reallocation of resources to ensure service delivery.</w:t>
            </w:r>
          </w:p>
        </w:tc>
      </w:tr>
      <w:tr w:rsidR="00FF5FB5" w:rsidRPr="002E7893" w14:paraId="13F7D07B" w14:textId="77777777" w:rsidTr="2D652033">
        <w:trPr>
          <w:trHeight w:val="454"/>
        </w:trPr>
        <w:tc>
          <w:tcPr>
            <w:tcW w:w="3964" w:type="dxa"/>
            <w:vAlign w:val="center"/>
          </w:tcPr>
          <w:p w14:paraId="0A3726A3" w14:textId="73A03647" w:rsidR="00FF5FB5" w:rsidRPr="00D26961" w:rsidRDefault="00FF5FB5" w:rsidP="00DA117A">
            <w:pPr>
              <w:rPr>
                <w:rFonts w:ascii="Arial" w:eastAsia="Times New Roman" w:hAnsi="Arial" w:cs="Arial"/>
                <w:color w:val="000000"/>
                <w:szCs w:val="20"/>
                <w:lang w:eastAsia="en-GB"/>
              </w:rPr>
            </w:pPr>
            <w:r w:rsidRPr="0009728E">
              <w:rPr>
                <w:rFonts w:ascii="Arial" w:hAnsi="Arial" w:cs="Arial"/>
              </w:rPr>
              <w:t>Cu</w:t>
            </w:r>
            <w:r>
              <w:rPr>
                <w:rFonts w:ascii="Arial" w:hAnsi="Arial" w:cs="Arial"/>
              </w:rPr>
              <w:t>stomer satisfaction (ring back)</w:t>
            </w:r>
          </w:p>
        </w:tc>
        <w:tc>
          <w:tcPr>
            <w:tcW w:w="1134" w:type="dxa"/>
            <w:vAlign w:val="center"/>
          </w:tcPr>
          <w:p w14:paraId="00D1E986" w14:textId="26D49C50" w:rsidR="00FF5FB5" w:rsidRPr="00791AA7" w:rsidRDefault="00FF5FB5" w:rsidP="00DA117A">
            <w:pPr>
              <w:spacing w:line="259" w:lineRule="auto"/>
              <w:jc w:val="center"/>
              <w:rPr>
                <w:rFonts w:ascii="Arial" w:hAnsi="Arial" w:cs="Arial"/>
              </w:rPr>
            </w:pPr>
            <w:r w:rsidRPr="00791AA7">
              <w:rPr>
                <w:rFonts w:ascii="Arial" w:hAnsi="Arial" w:cs="Arial"/>
              </w:rPr>
              <w:t>96%</w:t>
            </w:r>
          </w:p>
        </w:tc>
        <w:tc>
          <w:tcPr>
            <w:tcW w:w="993" w:type="dxa"/>
            <w:shd w:val="clear" w:color="auto" w:fill="92D050"/>
            <w:vAlign w:val="center"/>
          </w:tcPr>
          <w:p w14:paraId="0FF876E6" w14:textId="6E6DD7C5" w:rsidR="00FF5FB5" w:rsidRPr="1182FF59" w:rsidRDefault="00FF5FB5" w:rsidP="00DA117A">
            <w:pPr>
              <w:jc w:val="center"/>
              <w:rPr>
                <w:rFonts w:ascii="Arial" w:hAnsi="Arial" w:cs="Arial"/>
              </w:rPr>
            </w:pPr>
            <w:r>
              <w:rPr>
                <w:rFonts w:ascii="Arial" w:hAnsi="Arial" w:cs="Arial"/>
              </w:rPr>
              <w:t>90%</w:t>
            </w:r>
          </w:p>
        </w:tc>
        <w:tc>
          <w:tcPr>
            <w:tcW w:w="992" w:type="dxa"/>
            <w:shd w:val="clear" w:color="auto" w:fill="FFC000" w:themeFill="accent4"/>
            <w:vAlign w:val="center"/>
          </w:tcPr>
          <w:p w14:paraId="0E874B7E" w14:textId="75E4A401" w:rsidR="00FF5FB5" w:rsidRPr="00A754B8" w:rsidRDefault="00A754B8" w:rsidP="00A754B8">
            <w:pPr>
              <w:jc w:val="center"/>
              <w:rPr>
                <w:rFonts w:ascii="Arial" w:hAnsi="Arial" w:cs="Arial"/>
              </w:rPr>
            </w:pPr>
            <w:r w:rsidRPr="00A754B8">
              <w:rPr>
                <w:rFonts w:ascii="Arial" w:hAnsi="Arial" w:cs="Arial"/>
              </w:rPr>
              <w:t>89%</w:t>
            </w:r>
          </w:p>
        </w:tc>
        <w:tc>
          <w:tcPr>
            <w:tcW w:w="828" w:type="dxa"/>
            <w:vAlign w:val="center"/>
          </w:tcPr>
          <w:p w14:paraId="49F61864" w14:textId="31E3E2F9" w:rsidR="00FF5FB5" w:rsidRPr="00A754B8" w:rsidRDefault="00FF5FB5" w:rsidP="00DA117A">
            <w:pPr>
              <w:jc w:val="center"/>
              <w:rPr>
                <w:rFonts w:ascii="Arial" w:hAnsi="Arial" w:cs="Arial"/>
              </w:rPr>
            </w:pPr>
            <w:r w:rsidRPr="00A754B8">
              <w:rPr>
                <w:rFonts w:ascii="Wingdings 3" w:eastAsia="Wingdings 3" w:hAnsi="Wingdings 3" w:cs="Wingdings 3"/>
                <w:sz w:val="32"/>
                <w:szCs w:val="21"/>
              </w:rPr>
              <w:t></w:t>
            </w:r>
          </w:p>
        </w:tc>
        <w:tc>
          <w:tcPr>
            <w:tcW w:w="1156" w:type="dxa"/>
            <w:vAlign w:val="center"/>
          </w:tcPr>
          <w:p w14:paraId="01129A92" w14:textId="03B9AB7A" w:rsidR="00FF5FB5" w:rsidRPr="1182FF59" w:rsidRDefault="00FF5FB5" w:rsidP="00DA117A">
            <w:pPr>
              <w:jc w:val="center"/>
              <w:rPr>
                <w:rFonts w:ascii="Arial" w:hAnsi="Arial" w:cs="Arial"/>
              </w:rPr>
            </w:pPr>
            <w:r>
              <w:rPr>
                <w:rFonts w:ascii="Arial" w:hAnsi="Arial" w:cs="Arial"/>
              </w:rPr>
              <w:t>90%</w:t>
            </w:r>
          </w:p>
        </w:tc>
        <w:tc>
          <w:tcPr>
            <w:tcW w:w="6237" w:type="dxa"/>
            <w:vAlign w:val="center"/>
          </w:tcPr>
          <w:p w14:paraId="41C093ED" w14:textId="5C7CDAC0" w:rsidR="00FF5FB5" w:rsidRPr="00D93F4B" w:rsidRDefault="00FF5FB5" w:rsidP="00D93F4B">
            <w:pPr>
              <w:rPr>
                <w:rFonts w:ascii="Arial" w:hAnsi="Arial" w:cs="Arial"/>
              </w:rPr>
            </w:pPr>
            <w:r w:rsidRPr="00D93F4B">
              <w:rPr>
                <w:rFonts w:ascii="Arial" w:hAnsi="Arial" w:cs="Arial"/>
              </w:rPr>
              <w:t xml:space="preserve">Performance in Q1 </w:t>
            </w:r>
            <w:r w:rsidR="00A754B8">
              <w:rPr>
                <w:rFonts w:ascii="Arial" w:hAnsi="Arial" w:cs="Arial"/>
              </w:rPr>
              <w:t xml:space="preserve">and Q2 </w:t>
            </w:r>
            <w:r w:rsidRPr="00D93F4B">
              <w:rPr>
                <w:rFonts w:ascii="Arial" w:hAnsi="Arial" w:cs="Arial"/>
              </w:rPr>
              <w:t xml:space="preserve">demonstrates that </w:t>
            </w:r>
            <w:r w:rsidRPr="00D93F4B">
              <w:rPr>
                <w:rFonts w:ascii="Arial" w:hAnsi="Arial" w:cs="Arial"/>
                <w:shd w:val="clear" w:color="auto" w:fill="FFFFFF"/>
              </w:rPr>
              <w:t xml:space="preserve">public confidence in customer services remained high and </w:t>
            </w:r>
            <w:r>
              <w:rPr>
                <w:rFonts w:ascii="Arial" w:hAnsi="Arial" w:cs="Arial"/>
                <w:shd w:val="clear" w:color="auto" w:fill="FFFFFF"/>
              </w:rPr>
              <w:t xml:space="preserve">was </w:t>
            </w:r>
            <w:r w:rsidRPr="00D93F4B">
              <w:rPr>
                <w:rFonts w:ascii="Arial" w:hAnsi="Arial" w:cs="Arial"/>
                <w:shd w:val="clear" w:color="auto" w:fill="FFFFFF"/>
              </w:rPr>
              <w:t>not advers</w:t>
            </w:r>
            <w:r>
              <w:rPr>
                <w:rFonts w:ascii="Arial" w:hAnsi="Arial" w:cs="Arial"/>
                <w:shd w:val="clear" w:color="auto" w:fill="FFFFFF"/>
              </w:rPr>
              <w:t>e</w:t>
            </w:r>
            <w:r w:rsidRPr="00D93F4B">
              <w:rPr>
                <w:rFonts w:ascii="Arial" w:hAnsi="Arial" w:cs="Arial"/>
                <w:shd w:val="clear" w:color="auto" w:fill="FFFFFF"/>
              </w:rPr>
              <w:t>ly affected by changes in the way the public now contact us.</w:t>
            </w:r>
          </w:p>
        </w:tc>
      </w:tr>
      <w:tr w:rsidR="00FF5FB5" w:rsidRPr="002E7893" w14:paraId="11DE42E3" w14:textId="77777777" w:rsidTr="2D652033">
        <w:trPr>
          <w:trHeight w:val="585"/>
        </w:trPr>
        <w:tc>
          <w:tcPr>
            <w:tcW w:w="3964" w:type="dxa"/>
            <w:vAlign w:val="center"/>
          </w:tcPr>
          <w:p w14:paraId="2505B469" w14:textId="1A291F5D" w:rsidR="00FF5FB5" w:rsidRPr="00D26961" w:rsidRDefault="00FF5FB5" w:rsidP="00DA117A">
            <w:pPr>
              <w:rPr>
                <w:rFonts w:ascii="Arial" w:eastAsia="Times New Roman" w:hAnsi="Arial" w:cs="Arial"/>
                <w:color w:val="000000"/>
                <w:szCs w:val="20"/>
                <w:lang w:eastAsia="en-GB"/>
              </w:rPr>
            </w:pPr>
            <w:r>
              <w:rPr>
                <w:rFonts w:ascii="Arial" w:hAnsi="Arial" w:cs="Arial"/>
              </w:rPr>
              <w:t>Number of complaints</w:t>
            </w:r>
          </w:p>
        </w:tc>
        <w:tc>
          <w:tcPr>
            <w:tcW w:w="1134" w:type="dxa"/>
            <w:vAlign w:val="center"/>
          </w:tcPr>
          <w:p w14:paraId="66E6DCAF" w14:textId="41C6C865" w:rsidR="00FF5FB5" w:rsidRPr="00791AA7" w:rsidRDefault="00FF5FB5" w:rsidP="00DA117A">
            <w:pPr>
              <w:spacing w:line="259" w:lineRule="auto"/>
              <w:jc w:val="center"/>
              <w:rPr>
                <w:rFonts w:ascii="Arial" w:hAnsi="Arial" w:cs="Arial"/>
              </w:rPr>
            </w:pPr>
            <w:r>
              <w:rPr>
                <w:rFonts w:ascii="Arial" w:hAnsi="Arial" w:cs="Arial"/>
              </w:rPr>
              <w:t>1280</w:t>
            </w:r>
          </w:p>
        </w:tc>
        <w:tc>
          <w:tcPr>
            <w:tcW w:w="993" w:type="dxa"/>
            <w:shd w:val="clear" w:color="auto" w:fill="auto"/>
            <w:vAlign w:val="center"/>
          </w:tcPr>
          <w:p w14:paraId="41AD1CC9" w14:textId="35E7FE8B" w:rsidR="00FF5FB5" w:rsidRPr="1182FF59" w:rsidRDefault="00FF5FB5" w:rsidP="00EC6CDF">
            <w:pPr>
              <w:jc w:val="center"/>
              <w:rPr>
                <w:rFonts w:ascii="Arial" w:hAnsi="Arial" w:cs="Arial"/>
              </w:rPr>
            </w:pPr>
            <w:r>
              <w:rPr>
                <w:rFonts w:ascii="Arial" w:hAnsi="Arial" w:cs="Arial"/>
              </w:rPr>
              <w:t>158</w:t>
            </w:r>
          </w:p>
        </w:tc>
        <w:tc>
          <w:tcPr>
            <w:tcW w:w="992" w:type="dxa"/>
            <w:vAlign w:val="center"/>
          </w:tcPr>
          <w:p w14:paraId="3511480A" w14:textId="0C3E1381" w:rsidR="00FF5FB5" w:rsidRPr="00A754B8" w:rsidRDefault="00A754B8" w:rsidP="00A754B8">
            <w:pPr>
              <w:jc w:val="center"/>
              <w:rPr>
                <w:rFonts w:ascii="Arial" w:hAnsi="Arial" w:cs="Arial"/>
              </w:rPr>
            </w:pPr>
            <w:r>
              <w:rPr>
                <w:rFonts w:ascii="Arial" w:hAnsi="Arial" w:cs="Arial"/>
              </w:rPr>
              <w:t>185</w:t>
            </w:r>
          </w:p>
        </w:tc>
        <w:tc>
          <w:tcPr>
            <w:tcW w:w="828" w:type="dxa"/>
            <w:vAlign w:val="center"/>
          </w:tcPr>
          <w:p w14:paraId="2936247C" w14:textId="599FD295" w:rsidR="00FF5FB5" w:rsidRPr="00A754B8" w:rsidRDefault="00A754B8" w:rsidP="00DA117A">
            <w:pPr>
              <w:jc w:val="center"/>
              <w:rPr>
                <w:rFonts w:ascii="Arial" w:hAnsi="Arial" w:cs="Arial"/>
              </w:rPr>
            </w:pPr>
            <w:r w:rsidRPr="00A754B8">
              <w:rPr>
                <w:rFonts w:ascii="Wingdings 3" w:eastAsia="Wingdings 3" w:hAnsi="Wingdings 3" w:cs="Wingdings 3"/>
                <w:sz w:val="32"/>
                <w:szCs w:val="21"/>
              </w:rPr>
              <w:t></w:t>
            </w:r>
          </w:p>
        </w:tc>
        <w:tc>
          <w:tcPr>
            <w:tcW w:w="1156" w:type="dxa"/>
            <w:vAlign w:val="center"/>
          </w:tcPr>
          <w:p w14:paraId="1D227E3E" w14:textId="7E34A9FF" w:rsidR="00FF5FB5" w:rsidRPr="1182FF59" w:rsidRDefault="00FF5FB5" w:rsidP="00E0799C">
            <w:pPr>
              <w:jc w:val="center"/>
              <w:rPr>
                <w:rFonts w:ascii="Arial" w:hAnsi="Arial" w:cs="Arial"/>
              </w:rPr>
            </w:pPr>
            <w:r>
              <w:rPr>
                <w:rFonts w:ascii="Arial" w:hAnsi="Arial" w:cs="Arial"/>
              </w:rPr>
              <w:t xml:space="preserve">Reduce </w:t>
            </w:r>
          </w:p>
        </w:tc>
        <w:tc>
          <w:tcPr>
            <w:tcW w:w="6237" w:type="dxa"/>
            <w:vAlign w:val="center"/>
          </w:tcPr>
          <w:p w14:paraId="4F51D827" w14:textId="48274ED0" w:rsidR="00FF5FB5" w:rsidRPr="1182FF59" w:rsidRDefault="00A754B8" w:rsidP="00A754B8">
            <w:pPr>
              <w:rPr>
                <w:rFonts w:ascii="Arial" w:hAnsi="Arial" w:cs="Arial"/>
              </w:rPr>
            </w:pPr>
            <w:r>
              <w:rPr>
                <w:rFonts w:ascii="Arial" w:hAnsi="Arial" w:cs="Arial"/>
              </w:rPr>
              <w:t>A slight increase i</w:t>
            </w:r>
            <w:r w:rsidR="00FF5FB5">
              <w:rPr>
                <w:rFonts w:ascii="Arial" w:hAnsi="Arial" w:cs="Arial"/>
              </w:rPr>
              <w:t xml:space="preserve">n </w:t>
            </w:r>
            <w:r>
              <w:rPr>
                <w:rFonts w:ascii="Arial" w:hAnsi="Arial" w:cs="Arial"/>
              </w:rPr>
              <w:t xml:space="preserve">complaint numbers between Q1 and Q2, but still well below previous year’s figures. </w:t>
            </w:r>
            <w:r w:rsidR="00FF5FB5">
              <w:rPr>
                <w:rFonts w:ascii="Arial" w:hAnsi="Arial" w:cs="Arial"/>
              </w:rPr>
              <w:t xml:space="preserve"> </w:t>
            </w:r>
          </w:p>
        </w:tc>
      </w:tr>
      <w:tr w:rsidR="00FF5FB5" w:rsidRPr="002E7893" w14:paraId="0B74800C" w14:textId="77777777" w:rsidTr="2D652033">
        <w:trPr>
          <w:trHeight w:val="454"/>
        </w:trPr>
        <w:tc>
          <w:tcPr>
            <w:tcW w:w="3964" w:type="dxa"/>
            <w:vAlign w:val="center"/>
          </w:tcPr>
          <w:p w14:paraId="16B8B577" w14:textId="676F3BF0" w:rsidR="00FF5FB5" w:rsidRPr="00E61E12" w:rsidRDefault="00FF5FB5" w:rsidP="00DA117A">
            <w:pPr>
              <w:rPr>
                <w:rFonts w:ascii="Arial" w:eastAsia="Times New Roman" w:hAnsi="Arial" w:cs="Arial"/>
                <w:color w:val="000000"/>
                <w:szCs w:val="20"/>
                <w:highlight w:val="lightGray"/>
                <w:lang w:eastAsia="en-GB"/>
              </w:rPr>
            </w:pPr>
            <w:r w:rsidRPr="00D16557">
              <w:rPr>
                <w:rFonts w:ascii="Arial" w:hAnsi="Arial" w:cs="Arial"/>
              </w:rPr>
              <w:t xml:space="preserve">% change </w:t>
            </w:r>
            <w:r w:rsidRPr="002535F9">
              <w:rPr>
                <w:rFonts w:ascii="Arial" w:hAnsi="Arial" w:cs="Arial"/>
              </w:rPr>
              <w:t>in website unique page views</w:t>
            </w:r>
            <w:r w:rsidRPr="00D16557">
              <w:rPr>
                <w:rFonts w:ascii="Arial" w:hAnsi="Arial" w:cs="Arial"/>
              </w:rPr>
              <w:t xml:space="preserve"> </w:t>
            </w:r>
          </w:p>
        </w:tc>
        <w:tc>
          <w:tcPr>
            <w:tcW w:w="1134" w:type="dxa"/>
            <w:vAlign w:val="center"/>
          </w:tcPr>
          <w:p w14:paraId="47165625" w14:textId="785ED66E" w:rsidR="00FF5FB5" w:rsidRPr="00791AA7" w:rsidRDefault="00FF5FB5" w:rsidP="0039442F">
            <w:pPr>
              <w:jc w:val="center"/>
              <w:rPr>
                <w:rFonts w:ascii="Arial" w:hAnsi="Arial" w:cs="Arial"/>
              </w:rPr>
            </w:pPr>
            <w:r>
              <w:rPr>
                <w:rFonts w:ascii="Arial" w:hAnsi="Arial" w:cs="Arial"/>
              </w:rPr>
              <w:t>New</w:t>
            </w:r>
          </w:p>
        </w:tc>
        <w:tc>
          <w:tcPr>
            <w:tcW w:w="993" w:type="dxa"/>
            <w:shd w:val="clear" w:color="auto" w:fill="92D050"/>
            <w:vAlign w:val="center"/>
          </w:tcPr>
          <w:p w14:paraId="3EF3A0F5" w14:textId="522166E3" w:rsidR="00FF5FB5" w:rsidRDefault="00FF5FB5" w:rsidP="00096F80">
            <w:pPr>
              <w:jc w:val="center"/>
              <w:rPr>
                <w:rFonts w:ascii="Arial" w:hAnsi="Arial" w:cs="Arial"/>
              </w:rPr>
            </w:pPr>
            <w:r>
              <w:rPr>
                <w:rFonts w:ascii="Arial" w:hAnsi="Arial" w:cs="Arial"/>
              </w:rPr>
              <w:t>29.7%</w:t>
            </w:r>
          </w:p>
        </w:tc>
        <w:tc>
          <w:tcPr>
            <w:tcW w:w="992" w:type="dxa"/>
            <w:shd w:val="clear" w:color="auto" w:fill="92D050"/>
            <w:vAlign w:val="center"/>
          </w:tcPr>
          <w:p w14:paraId="106B0777" w14:textId="0BCCE5A5" w:rsidR="00FF5FB5" w:rsidRPr="00A754B8" w:rsidRDefault="00A754B8" w:rsidP="00A754B8">
            <w:pPr>
              <w:jc w:val="center"/>
              <w:rPr>
                <w:rFonts w:ascii="Arial" w:hAnsi="Arial" w:cs="Arial"/>
              </w:rPr>
            </w:pPr>
            <w:r>
              <w:rPr>
                <w:rFonts w:ascii="Arial" w:hAnsi="Arial" w:cs="Arial"/>
              </w:rPr>
              <w:t>28.2%</w:t>
            </w:r>
          </w:p>
        </w:tc>
        <w:tc>
          <w:tcPr>
            <w:tcW w:w="828" w:type="dxa"/>
            <w:vAlign w:val="center"/>
          </w:tcPr>
          <w:p w14:paraId="2372B6D7" w14:textId="66F16A15" w:rsidR="00FF5FB5" w:rsidRPr="00FF5FB5" w:rsidRDefault="00A754B8" w:rsidP="0039442F">
            <w:pPr>
              <w:jc w:val="center"/>
              <w:rPr>
                <w:rFonts w:ascii="Arial" w:hAnsi="Arial" w:cs="Arial"/>
                <w:highlight w:val="yellow"/>
              </w:rPr>
            </w:pPr>
            <w:r w:rsidRPr="00A754B8">
              <w:rPr>
                <w:rFonts w:ascii="Wingdings 3" w:eastAsia="Wingdings 3" w:hAnsi="Wingdings 3" w:cs="Wingdings 3"/>
                <w:sz w:val="32"/>
                <w:szCs w:val="21"/>
              </w:rPr>
              <w:t></w:t>
            </w:r>
          </w:p>
        </w:tc>
        <w:tc>
          <w:tcPr>
            <w:tcW w:w="1156" w:type="dxa"/>
            <w:vAlign w:val="center"/>
          </w:tcPr>
          <w:p w14:paraId="02DD15CC" w14:textId="4CDAD9D9" w:rsidR="00FF5FB5" w:rsidRPr="00791AA7" w:rsidRDefault="00FF5FB5" w:rsidP="495A79E4">
            <w:pPr>
              <w:jc w:val="center"/>
              <w:rPr>
                <w:rFonts w:ascii="Arial" w:hAnsi="Arial" w:cs="Arial"/>
                <w:color w:val="323130"/>
                <w:sz w:val="21"/>
                <w:szCs w:val="21"/>
              </w:rPr>
            </w:pPr>
            <w:r w:rsidRPr="00791AA7">
              <w:rPr>
                <w:rFonts w:ascii="Arial" w:hAnsi="Arial" w:cs="Arial"/>
                <w:color w:val="323130"/>
                <w:sz w:val="21"/>
                <w:szCs w:val="21"/>
              </w:rPr>
              <w:t>5% increase (6 month rolling average)</w:t>
            </w:r>
          </w:p>
        </w:tc>
        <w:tc>
          <w:tcPr>
            <w:tcW w:w="6237" w:type="dxa"/>
            <w:vAlign w:val="center"/>
          </w:tcPr>
          <w:p w14:paraId="7699F5B8" w14:textId="09BFA32E" w:rsidR="00FF5FB5" w:rsidRDefault="00FF5FB5" w:rsidP="00A754B8">
            <w:pPr>
              <w:rPr>
                <w:rFonts w:ascii="Arial" w:hAnsi="Arial" w:cs="Arial"/>
              </w:rPr>
            </w:pPr>
            <w:r>
              <w:rPr>
                <w:rFonts w:ascii="Arial" w:hAnsi="Arial" w:cs="Arial"/>
              </w:rPr>
              <w:t xml:space="preserve">This is a rolling measure looking at the change in unique page views over the past year.  Percentages have </w:t>
            </w:r>
            <w:r w:rsidR="00A754B8">
              <w:rPr>
                <w:rFonts w:ascii="Arial" w:hAnsi="Arial" w:cs="Arial"/>
              </w:rPr>
              <w:t xml:space="preserve">remained similar between </w:t>
            </w:r>
            <w:r>
              <w:rPr>
                <w:rFonts w:ascii="Arial" w:hAnsi="Arial" w:cs="Arial"/>
              </w:rPr>
              <w:t>Q1</w:t>
            </w:r>
            <w:r w:rsidR="00A754B8">
              <w:rPr>
                <w:rFonts w:ascii="Arial" w:hAnsi="Arial" w:cs="Arial"/>
              </w:rPr>
              <w:t xml:space="preserve"> and Q2 </w:t>
            </w:r>
            <w:r>
              <w:rPr>
                <w:rFonts w:ascii="Arial" w:hAnsi="Arial" w:cs="Arial"/>
              </w:rPr>
              <w:t>as more people have been looking for information via our website during the pandemic.</w:t>
            </w:r>
          </w:p>
        </w:tc>
      </w:tr>
      <w:tr w:rsidR="00FF5FB5" w:rsidRPr="002E7893" w14:paraId="01CDDB80" w14:textId="77777777" w:rsidTr="2D652033">
        <w:trPr>
          <w:trHeight w:val="454"/>
        </w:trPr>
        <w:tc>
          <w:tcPr>
            <w:tcW w:w="3964" w:type="dxa"/>
            <w:vAlign w:val="center"/>
          </w:tcPr>
          <w:p w14:paraId="0F60FBA4" w14:textId="1C012628" w:rsidR="00FF5FB5" w:rsidRPr="00E61E12" w:rsidRDefault="00FF5FB5" w:rsidP="00DA117A">
            <w:pPr>
              <w:rPr>
                <w:rFonts w:ascii="Arial" w:hAnsi="Arial" w:cs="Arial"/>
                <w:highlight w:val="lightGray"/>
              </w:rPr>
            </w:pPr>
            <w:r w:rsidRPr="00D16557">
              <w:rPr>
                <w:rFonts w:ascii="Arial" w:hAnsi="Arial" w:cs="Arial"/>
              </w:rPr>
              <w:t xml:space="preserve">% change </w:t>
            </w:r>
            <w:r>
              <w:rPr>
                <w:rFonts w:ascii="Arial" w:hAnsi="Arial" w:cs="Arial"/>
              </w:rPr>
              <w:t>in new website users</w:t>
            </w:r>
          </w:p>
        </w:tc>
        <w:tc>
          <w:tcPr>
            <w:tcW w:w="1134" w:type="dxa"/>
            <w:vAlign w:val="center"/>
          </w:tcPr>
          <w:p w14:paraId="16A28DA9" w14:textId="72372938" w:rsidR="00FF5FB5" w:rsidRPr="000B6EDB" w:rsidRDefault="00FF5FB5" w:rsidP="0039442F">
            <w:pPr>
              <w:jc w:val="center"/>
              <w:rPr>
                <w:rFonts w:ascii="Arial" w:hAnsi="Arial" w:cs="Arial"/>
              </w:rPr>
            </w:pPr>
            <w:r>
              <w:rPr>
                <w:rFonts w:ascii="Arial" w:hAnsi="Arial" w:cs="Arial"/>
              </w:rPr>
              <w:t>New</w:t>
            </w:r>
          </w:p>
        </w:tc>
        <w:tc>
          <w:tcPr>
            <w:tcW w:w="993" w:type="dxa"/>
            <w:shd w:val="clear" w:color="auto" w:fill="92D050"/>
            <w:vAlign w:val="center"/>
          </w:tcPr>
          <w:p w14:paraId="75214004" w14:textId="48C96BD3" w:rsidR="00FF5FB5" w:rsidRDefault="00FF5FB5" w:rsidP="0039442F">
            <w:pPr>
              <w:jc w:val="center"/>
              <w:rPr>
                <w:rFonts w:ascii="Arial" w:hAnsi="Arial" w:cs="Arial"/>
              </w:rPr>
            </w:pPr>
            <w:r>
              <w:rPr>
                <w:rFonts w:ascii="Arial" w:hAnsi="Arial" w:cs="Arial"/>
              </w:rPr>
              <w:t>237.1</w:t>
            </w:r>
            <w:r w:rsidRPr="495A79E4">
              <w:rPr>
                <w:rFonts w:ascii="Arial" w:hAnsi="Arial" w:cs="Arial"/>
              </w:rPr>
              <w:t>%</w:t>
            </w:r>
          </w:p>
        </w:tc>
        <w:tc>
          <w:tcPr>
            <w:tcW w:w="992" w:type="dxa"/>
            <w:shd w:val="clear" w:color="auto" w:fill="92D050"/>
            <w:vAlign w:val="center"/>
          </w:tcPr>
          <w:p w14:paraId="79A9DA5F" w14:textId="2A63494B" w:rsidR="00FF5FB5" w:rsidRPr="00A754B8" w:rsidRDefault="00A754B8" w:rsidP="00A754B8">
            <w:pPr>
              <w:jc w:val="center"/>
              <w:rPr>
                <w:rFonts w:ascii="Arial" w:hAnsi="Arial" w:cs="Arial"/>
              </w:rPr>
            </w:pPr>
            <w:r>
              <w:rPr>
                <w:rFonts w:ascii="Arial" w:hAnsi="Arial" w:cs="Arial"/>
              </w:rPr>
              <w:t>46.4%</w:t>
            </w:r>
          </w:p>
        </w:tc>
        <w:tc>
          <w:tcPr>
            <w:tcW w:w="828" w:type="dxa"/>
            <w:vAlign w:val="center"/>
          </w:tcPr>
          <w:p w14:paraId="17A1DF6D" w14:textId="6AC44319" w:rsidR="00FF5FB5" w:rsidRPr="00FF5FB5" w:rsidRDefault="00A754B8" w:rsidP="0039442F">
            <w:pPr>
              <w:jc w:val="center"/>
              <w:rPr>
                <w:rFonts w:ascii="Arial" w:hAnsi="Arial" w:cs="Arial"/>
                <w:highlight w:val="yellow"/>
              </w:rPr>
            </w:pPr>
            <w:r w:rsidRPr="00A754B8">
              <w:rPr>
                <w:rFonts w:ascii="Wingdings 3" w:eastAsia="Wingdings 3" w:hAnsi="Wingdings 3" w:cs="Wingdings 3"/>
                <w:sz w:val="32"/>
                <w:szCs w:val="21"/>
              </w:rPr>
              <w:t></w:t>
            </w:r>
          </w:p>
        </w:tc>
        <w:tc>
          <w:tcPr>
            <w:tcW w:w="1156" w:type="dxa"/>
            <w:vAlign w:val="center"/>
          </w:tcPr>
          <w:p w14:paraId="380529BF" w14:textId="0DC366D1" w:rsidR="00FF5FB5" w:rsidRPr="00791AA7" w:rsidRDefault="00FF5FB5" w:rsidP="00DA117A">
            <w:pPr>
              <w:jc w:val="center"/>
              <w:rPr>
                <w:rFonts w:ascii="Arial" w:hAnsi="Arial" w:cs="Arial"/>
                <w:sz w:val="21"/>
                <w:szCs w:val="21"/>
              </w:rPr>
            </w:pPr>
            <w:r w:rsidRPr="00791AA7">
              <w:rPr>
                <w:rFonts w:ascii="Arial" w:eastAsia="Times New Roman" w:hAnsi="Arial" w:cs="Arial"/>
                <w:color w:val="323130"/>
                <w:sz w:val="21"/>
                <w:szCs w:val="21"/>
              </w:rPr>
              <w:t xml:space="preserve">30% increase (6 month rolling average) </w:t>
            </w:r>
          </w:p>
        </w:tc>
        <w:tc>
          <w:tcPr>
            <w:tcW w:w="6237" w:type="dxa"/>
            <w:vAlign w:val="center"/>
          </w:tcPr>
          <w:p w14:paraId="391F535D" w14:textId="528F5A6A" w:rsidR="00FF5FB5" w:rsidRDefault="00FF5FB5" w:rsidP="00A754B8">
            <w:pPr>
              <w:rPr>
                <w:rFonts w:ascii="Arial" w:hAnsi="Arial" w:cs="Arial"/>
              </w:rPr>
            </w:pPr>
            <w:r>
              <w:rPr>
                <w:rFonts w:ascii="Arial" w:hAnsi="Arial" w:cs="Arial"/>
              </w:rPr>
              <w:t xml:space="preserve">This is a rolling measure looking at the change in new website users over the past year.  Percentages increased considerably over Q1 as more people </w:t>
            </w:r>
            <w:r w:rsidR="00A754B8">
              <w:rPr>
                <w:rFonts w:ascii="Arial" w:hAnsi="Arial" w:cs="Arial"/>
              </w:rPr>
              <w:t>began</w:t>
            </w:r>
            <w:r>
              <w:rPr>
                <w:rFonts w:ascii="Arial" w:hAnsi="Arial" w:cs="Arial"/>
              </w:rPr>
              <w:t xml:space="preserve"> looking for information via our website during the pandemic</w:t>
            </w:r>
            <w:r w:rsidR="00A754B8">
              <w:rPr>
                <w:rFonts w:ascii="Arial" w:hAnsi="Arial" w:cs="Arial"/>
              </w:rPr>
              <w:t>, but have come down over Q2.</w:t>
            </w:r>
          </w:p>
        </w:tc>
      </w:tr>
      <w:tr w:rsidR="00FF5FB5" w:rsidRPr="002E7893" w14:paraId="6C2E5249" w14:textId="77777777" w:rsidTr="2D652033">
        <w:trPr>
          <w:trHeight w:val="1264"/>
        </w:trPr>
        <w:tc>
          <w:tcPr>
            <w:tcW w:w="3964" w:type="dxa"/>
            <w:vAlign w:val="center"/>
          </w:tcPr>
          <w:p w14:paraId="081F4C91" w14:textId="7B181BFC" w:rsidR="00FF5FB5" w:rsidRPr="00F7207B" w:rsidDel="00461EB3" w:rsidRDefault="00FF5FB5" w:rsidP="00DA117A">
            <w:pPr>
              <w:rPr>
                <w:rFonts w:ascii="Arial" w:eastAsia="Times New Roman" w:hAnsi="Arial" w:cs="Arial"/>
                <w:color w:val="000000"/>
                <w:lang w:eastAsia="en-GB"/>
              </w:rPr>
            </w:pPr>
            <w:r w:rsidRPr="00D16557">
              <w:rPr>
                <w:rFonts w:ascii="Arial" w:hAnsi="Arial" w:cs="Arial"/>
              </w:rPr>
              <w:lastRenderedPageBreak/>
              <w:t xml:space="preserve">Facebook </w:t>
            </w:r>
            <w:r>
              <w:rPr>
                <w:rFonts w:ascii="Arial" w:hAnsi="Arial" w:cs="Arial"/>
              </w:rPr>
              <w:t xml:space="preserve">reach rate </w:t>
            </w:r>
          </w:p>
        </w:tc>
        <w:tc>
          <w:tcPr>
            <w:tcW w:w="1134" w:type="dxa"/>
            <w:vAlign w:val="center"/>
          </w:tcPr>
          <w:p w14:paraId="33C9128B" w14:textId="2B55ED5E" w:rsidR="00FF5FB5" w:rsidRPr="00B90892" w:rsidRDefault="00FF5FB5" w:rsidP="0039442F">
            <w:pPr>
              <w:jc w:val="center"/>
              <w:rPr>
                <w:rFonts w:ascii="Arial" w:hAnsi="Arial" w:cs="Arial"/>
              </w:rPr>
            </w:pPr>
            <w:r>
              <w:rPr>
                <w:rFonts w:ascii="Arial" w:hAnsi="Arial" w:cs="Arial"/>
              </w:rPr>
              <w:t>New</w:t>
            </w:r>
          </w:p>
        </w:tc>
        <w:tc>
          <w:tcPr>
            <w:tcW w:w="993" w:type="dxa"/>
            <w:shd w:val="clear" w:color="auto" w:fill="92D050"/>
            <w:vAlign w:val="center"/>
          </w:tcPr>
          <w:p w14:paraId="43D93D5B" w14:textId="38FAA549" w:rsidR="00FF5FB5" w:rsidRPr="00B90892" w:rsidRDefault="00FF5FB5" w:rsidP="003629AE">
            <w:pPr>
              <w:jc w:val="center"/>
              <w:rPr>
                <w:rFonts w:ascii="Arial" w:hAnsi="Arial" w:cs="Arial"/>
              </w:rPr>
            </w:pPr>
            <w:r>
              <w:rPr>
                <w:rFonts w:ascii="Arial" w:hAnsi="Arial" w:cs="Arial"/>
              </w:rPr>
              <w:t>22.52%</w:t>
            </w:r>
          </w:p>
        </w:tc>
        <w:tc>
          <w:tcPr>
            <w:tcW w:w="992" w:type="dxa"/>
            <w:shd w:val="clear" w:color="auto" w:fill="92D050"/>
            <w:vAlign w:val="center"/>
          </w:tcPr>
          <w:p w14:paraId="5AAA8302" w14:textId="37D1BD0B" w:rsidR="00FF5FB5" w:rsidRPr="00A754B8" w:rsidRDefault="008312A9" w:rsidP="00A754B8">
            <w:pPr>
              <w:jc w:val="center"/>
              <w:rPr>
                <w:rFonts w:ascii="Arial" w:eastAsia="Wingdings 3" w:hAnsi="Arial" w:cs="Arial"/>
              </w:rPr>
            </w:pPr>
            <w:r w:rsidRPr="008312A9">
              <w:rPr>
                <w:rFonts w:ascii="Arial" w:eastAsia="Wingdings 3" w:hAnsi="Arial" w:cs="Arial"/>
                <w:shd w:val="clear" w:color="auto" w:fill="92D050"/>
              </w:rPr>
              <w:t>35.61</w:t>
            </w:r>
            <w:r>
              <w:rPr>
                <w:rFonts w:ascii="Arial" w:eastAsia="Wingdings 3" w:hAnsi="Arial" w:cs="Arial"/>
              </w:rPr>
              <w:t>%</w:t>
            </w:r>
          </w:p>
        </w:tc>
        <w:tc>
          <w:tcPr>
            <w:tcW w:w="828" w:type="dxa"/>
            <w:shd w:val="clear" w:color="auto" w:fill="auto"/>
            <w:vAlign w:val="center"/>
          </w:tcPr>
          <w:p w14:paraId="0013A441" w14:textId="4FEE5AF1" w:rsidR="00FF5FB5" w:rsidRPr="00B90892" w:rsidRDefault="005A26DE" w:rsidP="00096F80">
            <w:pPr>
              <w:jc w:val="center"/>
              <w:rPr>
                <w:rFonts w:ascii="Arial" w:hAnsi="Arial" w:cs="Arial"/>
              </w:rPr>
            </w:pPr>
            <w:r w:rsidRPr="00E14EFF">
              <w:rPr>
                <w:rFonts w:ascii="Wingdings 3" w:eastAsia="Wingdings 3" w:hAnsi="Wingdings 3" w:cs="Wingdings 3"/>
                <w:sz w:val="32"/>
                <w:szCs w:val="21"/>
              </w:rPr>
              <w:t></w:t>
            </w:r>
          </w:p>
        </w:tc>
        <w:tc>
          <w:tcPr>
            <w:tcW w:w="1156" w:type="dxa"/>
            <w:vAlign w:val="center"/>
          </w:tcPr>
          <w:p w14:paraId="0C90FD13" w14:textId="0E99C4FF" w:rsidR="00FF5FB5" w:rsidRPr="00791AA7" w:rsidRDefault="00FF5FB5" w:rsidP="003629AE">
            <w:pPr>
              <w:jc w:val="center"/>
              <w:rPr>
                <w:rFonts w:ascii="Arial" w:hAnsi="Arial" w:cs="Arial"/>
                <w:sz w:val="21"/>
                <w:szCs w:val="21"/>
              </w:rPr>
            </w:pPr>
            <w:r w:rsidRPr="00791AA7">
              <w:rPr>
                <w:rFonts w:ascii="Arial" w:hAnsi="Arial" w:cs="Arial"/>
                <w:color w:val="323130"/>
                <w:sz w:val="21"/>
                <w:szCs w:val="21"/>
              </w:rPr>
              <w:t xml:space="preserve">10% rise </w:t>
            </w:r>
            <w:r>
              <w:rPr>
                <w:rFonts w:ascii="Arial" w:hAnsi="Arial" w:cs="Arial"/>
                <w:color w:val="323130"/>
                <w:sz w:val="21"/>
                <w:szCs w:val="21"/>
              </w:rPr>
              <w:t>(</w:t>
            </w:r>
            <w:r w:rsidRPr="00791AA7">
              <w:rPr>
                <w:rFonts w:ascii="Arial" w:hAnsi="Arial" w:cs="Arial"/>
                <w:color w:val="323130"/>
                <w:sz w:val="21"/>
                <w:szCs w:val="21"/>
              </w:rPr>
              <w:t>6 month</w:t>
            </w:r>
            <w:r>
              <w:rPr>
                <w:rFonts w:ascii="Arial" w:hAnsi="Arial" w:cs="Arial"/>
                <w:color w:val="323130"/>
                <w:sz w:val="21"/>
                <w:szCs w:val="21"/>
              </w:rPr>
              <w:t xml:space="preserve"> rolling </w:t>
            </w:r>
            <w:r w:rsidRPr="00791AA7">
              <w:rPr>
                <w:rFonts w:ascii="Arial" w:hAnsi="Arial" w:cs="Arial"/>
                <w:color w:val="323130"/>
                <w:sz w:val="21"/>
                <w:szCs w:val="21"/>
              </w:rPr>
              <w:t>period</w:t>
            </w:r>
            <w:r>
              <w:rPr>
                <w:rFonts w:ascii="Arial" w:hAnsi="Arial" w:cs="Arial"/>
                <w:color w:val="323130"/>
                <w:sz w:val="21"/>
                <w:szCs w:val="21"/>
              </w:rPr>
              <w:t>)</w:t>
            </w:r>
            <w:r w:rsidRPr="00791AA7">
              <w:rPr>
                <w:rFonts w:ascii="Arial" w:hAnsi="Arial" w:cs="Arial"/>
                <w:color w:val="323130"/>
                <w:sz w:val="21"/>
                <w:szCs w:val="21"/>
              </w:rPr>
              <w:t xml:space="preserve"> </w:t>
            </w:r>
          </w:p>
        </w:tc>
        <w:tc>
          <w:tcPr>
            <w:tcW w:w="6237" w:type="dxa"/>
            <w:vAlign w:val="center"/>
          </w:tcPr>
          <w:p w14:paraId="314982DE" w14:textId="15596818" w:rsidR="00FF5FB5" w:rsidRPr="00B90892" w:rsidRDefault="00FF5FB5" w:rsidP="003629AE">
            <w:pPr>
              <w:rPr>
                <w:rFonts w:ascii="Arial" w:hAnsi="Arial" w:cs="Arial"/>
              </w:rPr>
            </w:pPr>
            <w:r>
              <w:rPr>
                <w:rFonts w:ascii="Arial" w:hAnsi="Arial" w:cs="Arial"/>
              </w:rPr>
              <w:t xml:space="preserve">This is a rolling measure looking at change in the reach of our Facebook posts.  </w:t>
            </w:r>
          </w:p>
        </w:tc>
      </w:tr>
      <w:tr w:rsidR="00FF5FB5" w:rsidRPr="002E7893" w14:paraId="1288F070" w14:textId="77777777" w:rsidTr="2D652033">
        <w:trPr>
          <w:trHeight w:val="1309"/>
        </w:trPr>
        <w:tc>
          <w:tcPr>
            <w:tcW w:w="3964" w:type="dxa"/>
            <w:vAlign w:val="center"/>
          </w:tcPr>
          <w:p w14:paraId="3D7FCDEE" w14:textId="36B29535" w:rsidR="00FF5FB5" w:rsidRPr="00F7207B" w:rsidDel="00461EB3" w:rsidRDefault="00FF5FB5" w:rsidP="00DA117A">
            <w:pPr>
              <w:rPr>
                <w:rFonts w:ascii="Arial" w:eastAsia="Times New Roman" w:hAnsi="Arial" w:cs="Arial"/>
                <w:color w:val="000000"/>
                <w:lang w:eastAsia="en-GB"/>
              </w:rPr>
            </w:pPr>
            <w:r w:rsidRPr="00D16557">
              <w:rPr>
                <w:rFonts w:ascii="Arial" w:hAnsi="Arial" w:cs="Arial"/>
              </w:rPr>
              <w:t xml:space="preserve">Facebook engagement </w:t>
            </w:r>
            <w:r>
              <w:rPr>
                <w:rFonts w:ascii="Arial" w:hAnsi="Arial" w:cs="Arial"/>
              </w:rPr>
              <w:t>rate</w:t>
            </w:r>
          </w:p>
        </w:tc>
        <w:tc>
          <w:tcPr>
            <w:tcW w:w="1134" w:type="dxa"/>
            <w:vAlign w:val="center"/>
          </w:tcPr>
          <w:p w14:paraId="6B0BEC5D" w14:textId="0D15AD70" w:rsidR="00FF5FB5" w:rsidRPr="00B90892" w:rsidRDefault="00FF5FB5" w:rsidP="0039442F">
            <w:pPr>
              <w:jc w:val="center"/>
              <w:rPr>
                <w:rFonts w:ascii="Arial" w:hAnsi="Arial" w:cs="Arial"/>
              </w:rPr>
            </w:pPr>
            <w:r>
              <w:rPr>
                <w:rFonts w:ascii="Arial" w:hAnsi="Arial" w:cs="Arial"/>
              </w:rPr>
              <w:t>New</w:t>
            </w:r>
          </w:p>
        </w:tc>
        <w:tc>
          <w:tcPr>
            <w:tcW w:w="993" w:type="dxa"/>
            <w:shd w:val="clear" w:color="auto" w:fill="92D050"/>
            <w:vAlign w:val="center"/>
          </w:tcPr>
          <w:p w14:paraId="4377A1DF" w14:textId="3BB04C7E" w:rsidR="00FF5FB5" w:rsidRPr="00B90892" w:rsidRDefault="00FF5FB5" w:rsidP="00D731B1">
            <w:pPr>
              <w:jc w:val="center"/>
              <w:rPr>
                <w:rFonts w:ascii="Arial" w:hAnsi="Arial" w:cs="Arial"/>
              </w:rPr>
            </w:pPr>
            <w:r>
              <w:rPr>
                <w:rFonts w:ascii="Arial" w:hAnsi="Arial" w:cs="Arial"/>
              </w:rPr>
              <w:t>10.71%</w:t>
            </w:r>
          </w:p>
        </w:tc>
        <w:tc>
          <w:tcPr>
            <w:tcW w:w="992" w:type="dxa"/>
            <w:shd w:val="clear" w:color="auto" w:fill="FFC000" w:themeFill="accent4"/>
            <w:vAlign w:val="center"/>
          </w:tcPr>
          <w:p w14:paraId="6105F91C" w14:textId="0AF7CE9F" w:rsidR="00FF5FB5" w:rsidRPr="00A754B8" w:rsidRDefault="00A754B8" w:rsidP="008312A9">
            <w:pPr>
              <w:jc w:val="center"/>
              <w:rPr>
                <w:rFonts w:ascii="Arial" w:eastAsia="Wingdings 3" w:hAnsi="Arial" w:cs="Arial"/>
              </w:rPr>
            </w:pPr>
            <w:r w:rsidRPr="00A754B8">
              <w:rPr>
                <w:rFonts w:ascii="Arial" w:eastAsia="Wingdings 3" w:hAnsi="Arial" w:cs="Arial"/>
              </w:rPr>
              <w:t>9.</w:t>
            </w:r>
            <w:r w:rsidR="008312A9">
              <w:rPr>
                <w:rFonts w:ascii="Arial" w:eastAsia="Wingdings 3" w:hAnsi="Arial" w:cs="Arial"/>
              </w:rPr>
              <w:t>94</w:t>
            </w:r>
            <w:r w:rsidRPr="00A754B8">
              <w:rPr>
                <w:rFonts w:ascii="Arial" w:eastAsia="Wingdings 3" w:hAnsi="Arial" w:cs="Arial"/>
              </w:rPr>
              <w:t>%</w:t>
            </w:r>
          </w:p>
        </w:tc>
        <w:tc>
          <w:tcPr>
            <w:tcW w:w="828" w:type="dxa"/>
            <w:vAlign w:val="center"/>
          </w:tcPr>
          <w:p w14:paraId="5F89CC0A" w14:textId="373B7AD3" w:rsidR="00FF5FB5" w:rsidRPr="00B90892" w:rsidRDefault="00A754B8" w:rsidP="0039442F">
            <w:pPr>
              <w:jc w:val="center"/>
              <w:rPr>
                <w:rFonts w:ascii="Arial" w:hAnsi="Arial" w:cs="Arial"/>
              </w:rPr>
            </w:pPr>
            <w:r w:rsidRPr="00A754B8">
              <w:rPr>
                <w:rFonts w:ascii="Wingdings 3" w:eastAsia="Wingdings 3" w:hAnsi="Wingdings 3" w:cs="Wingdings 3"/>
                <w:sz w:val="32"/>
                <w:szCs w:val="21"/>
              </w:rPr>
              <w:t></w:t>
            </w:r>
          </w:p>
        </w:tc>
        <w:tc>
          <w:tcPr>
            <w:tcW w:w="1156" w:type="dxa"/>
            <w:vAlign w:val="center"/>
          </w:tcPr>
          <w:p w14:paraId="44658847" w14:textId="45917771" w:rsidR="00FF5FB5" w:rsidRPr="00791AA7" w:rsidRDefault="00FF5FB5" w:rsidP="00DD25AD">
            <w:pPr>
              <w:jc w:val="center"/>
              <w:rPr>
                <w:rFonts w:ascii="Arial" w:hAnsi="Arial" w:cs="Arial"/>
                <w:sz w:val="21"/>
                <w:szCs w:val="21"/>
              </w:rPr>
            </w:pPr>
            <w:r>
              <w:rPr>
                <w:rFonts w:ascii="Arial" w:hAnsi="Arial" w:cs="Arial"/>
                <w:color w:val="323130"/>
                <w:sz w:val="21"/>
                <w:szCs w:val="21"/>
              </w:rPr>
              <w:t>1</w:t>
            </w:r>
            <w:r w:rsidRPr="00791AA7">
              <w:rPr>
                <w:rFonts w:ascii="Arial" w:hAnsi="Arial" w:cs="Arial"/>
                <w:color w:val="323130"/>
                <w:sz w:val="21"/>
                <w:szCs w:val="21"/>
              </w:rPr>
              <w:t xml:space="preserve">0% </w:t>
            </w:r>
            <w:r>
              <w:rPr>
                <w:rFonts w:ascii="Arial" w:hAnsi="Arial" w:cs="Arial"/>
                <w:color w:val="323130"/>
                <w:sz w:val="21"/>
                <w:szCs w:val="21"/>
              </w:rPr>
              <w:t>increase (6</w:t>
            </w:r>
            <w:r w:rsidRPr="00791AA7">
              <w:rPr>
                <w:rFonts w:ascii="Arial" w:hAnsi="Arial" w:cs="Arial"/>
                <w:color w:val="323130"/>
                <w:sz w:val="21"/>
                <w:szCs w:val="21"/>
              </w:rPr>
              <w:t xml:space="preserve"> month</w:t>
            </w:r>
            <w:r>
              <w:rPr>
                <w:rFonts w:ascii="Arial" w:hAnsi="Arial" w:cs="Arial"/>
                <w:color w:val="323130"/>
                <w:sz w:val="21"/>
                <w:szCs w:val="21"/>
              </w:rPr>
              <w:t xml:space="preserve"> rolling average)</w:t>
            </w:r>
          </w:p>
        </w:tc>
        <w:tc>
          <w:tcPr>
            <w:tcW w:w="6237" w:type="dxa"/>
            <w:vAlign w:val="center"/>
          </w:tcPr>
          <w:p w14:paraId="0629F42C" w14:textId="51E21156" w:rsidR="00FF5FB5" w:rsidRPr="00B90892" w:rsidRDefault="00FF5FB5" w:rsidP="00EE5393">
            <w:pPr>
              <w:rPr>
                <w:rFonts w:ascii="Arial" w:hAnsi="Arial" w:cs="Arial"/>
              </w:rPr>
            </w:pPr>
            <w:r>
              <w:rPr>
                <w:rFonts w:ascii="Arial" w:hAnsi="Arial" w:cs="Arial"/>
              </w:rPr>
              <w:t xml:space="preserve">This is a rolling measure looking at how far people have engaged with our Facebook posts (for example by sharing a post). </w:t>
            </w:r>
            <w:r w:rsidR="00A754B8">
              <w:rPr>
                <w:rFonts w:ascii="Arial" w:hAnsi="Arial" w:cs="Arial"/>
              </w:rPr>
              <w:t>Very slightly below target for Q2.</w:t>
            </w:r>
            <w:r>
              <w:rPr>
                <w:rFonts w:ascii="Arial" w:hAnsi="Arial" w:cs="Arial"/>
              </w:rPr>
              <w:t xml:space="preserve"> </w:t>
            </w:r>
          </w:p>
        </w:tc>
      </w:tr>
      <w:tr w:rsidR="00A754B8" w:rsidRPr="002E7893" w14:paraId="30E1A437" w14:textId="77777777" w:rsidTr="2D652033">
        <w:trPr>
          <w:trHeight w:val="1309"/>
        </w:trPr>
        <w:tc>
          <w:tcPr>
            <w:tcW w:w="3964" w:type="dxa"/>
            <w:vAlign w:val="center"/>
          </w:tcPr>
          <w:p w14:paraId="5F786C43" w14:textId="007CFAF0" w:rsidR="00A754B8" w:rsidRPr="00D16557" w:rsidRDefault="00210BDC" w:rsidP="00A754B8">
            <w:pPr>
              <w:rPr>
                <w:rFonts w:ascii="Arial" w:hAnsi="Arial" w:cs="Arial"/>
              </w:rPr>
            </w:pPr>
            <w:r>
              <w:rPr>
                <w:rFonts w:ascii="Arial" w:hAnsi="Arial" w:cs="Arial"/>
              </w:rPr>
              <w:t>Self-</w:t>
            </w:r>
            <w:r w:rsidR="00A754B8">
              <w:rPr>
                <w:rFonts w:ascii="Arial" w:hAnsi="Arial" w:cs="Arial"/>
              </w:rPr>
              <w:t>service digital transactions as a % of total transactions (Report it, Apply for it and Complaint and Compliments)</w:t>
            </w:r>
          </w:p>
        </w:tc>
        <w:tc>
          <w:tcPr>
            <w:tcW w:w="1134" w:type="dxa"/>
            <w:vAlign w:val="center"/>
          </w:tcPr>
          <w:p w14:paraId="29DE2B92" w14:textId="4A425807" w:rsidR="00A754B8" w:rsidRDefault="00A754B8" w:rsidP="0039442F">
            <w:pPr>
              <w:jc w:val="center"/>
              <w:rPr>
                <w:rFonts w:ascii="Arial" w:hAnsi="Arial" w:cs="Arial"/>
              </w:rPr>
            </w:pPr>
            <w:r>
              <w:rPr>
                <w:rFonts w:ascii="Arial" w:hAnsi="Arial" w:cs="Arial"/>
              </w:rPr>
              <w:t>New</w:t>
            </w:r>
          </w:p>
        </w:tc>
        <w:tc>
          <w:tcPr>
            <w:tcW w:w="993" w:type="dxa"/>
            <w:shd w:val="clear" w:color="auto" w:fill="auto"/>
            <w:vAlign w:val="center"/>
          </w:tcPr>
          <w:p w14:paraId="4B3A42BA" w14:textId="5CDAB170" w:rsidR="00A754B8" w:rsidRDefault="009D3837" w:rsidP="00D731B1">
            <w:pPr>
              <w:jc w:val="center"/>
              <w:rPr>
                <w:rFonts w:ascii="Arial" w:hAnsi="Arial" w:cs="Arial"/>
              </w:rPr>
            </w:pPr>
            <w:r>
              <w:rPr>
                <w:rFonts w:ascii="Arial" w:hAnsi="Arial" w:cs="Arial"/>
              </w:rPr>
              <w:t>68%</w:t>
            </w:r>
          </w:p>
        </w:tc>
        <w:tc>
          <w:tcPr>
            <w:tcW w:w="992" w:type="dxa"/>
            <w:shd w:val="clear" w:color="auto" w:fill="auto"/>
            <w:vAlign w:val="center"/>
          </w:tcPr>
          <w:p w14:paraId="151EA660" w14:textId="2B3CD325" w:rsidR="00A754B8" w:rsidRPr="00A754B8" w:rsidRDefault="009D3837" w:rsidP="00A754B8">
            <w:pPr>
              <w:jc w:val="center"/>
              <w:rPr>
                <w:rFonts w:ascii="Arial" w:eastAsia="Wingdings 3" w:hAnsi="Arial" w:cs="Arial"/>
              </w:rPr>
            </w:pPr>
            <w:r>
              <w:rPr>
                <w:rFonts w:ascii="Arial" w:eastAsia="Wingdings 3" w:hAnsi="Arial" w:cs="Arial"/>
              </w:rPr>
              <w:t>39%</w:t>
            </w:r>
          </w:p>
        </w:tc>
        <w:tc>
          <w:tcPr>
            <w:tcW w:w="828" w:type="dxa"/>
            <w:shd w:val="clear" w:color="auto" w:fill="auto"/>
            <w:vAlign w:val="center"/>
          </w:tcPr>
          <w:p w14:paraId="53E16B51" w14:textId="70125B78" w:rsidR="00A754B8" w:rsidRPr="00E14EFF" w:rsidRDefault="009D3837" w:rsidP="0039442F">
            <w:pPr>
              <w:jc w:val="center"/>
              <w:rPr>
                <w:rFonts w:ascii="Wingdings 3" w:eastAsia="Wingdings 3" w:hAnsi="Wingdings 3" w:cs="Wingdings 3"/>
                <w:sz w:val="32"/>
                <w:szCs w:val="21"/>
              </w:rPr>
            </w:pPr>
            <w:r w:rsidRPr="00A754B8">
              <w:rPr>
                <w:rFonts w:ascii="Wingdings 3" w:eastAsia="Wingdings 3" w:hAnsi="Wingdings 3" w:cs="Wingdings 3"/>
                <w:sz w:val="32"/>
                <w:szCs w:val="21"/>
              </w:rPr>
              <w:t></w:t>
            </w:r>
          </w:p>
        </w:tc>
        <w:tc>
          <w:tcPr>
            <w:tcW w:w="1156" w:type="dxa"/>
            <w:vAlign w:val="center"/>
          </w:tcPr>
          <w:p w14:paraId="09DEF658" w14:textId="68A50845" w:rsidR="00A754B8" w:rsidRDefault="00A754B8" w:rsidP="00DD25AD">
            <w:pPr>
              <w:jc w:val="center"/>
              <w:rPr>
                <w:rFonts w:ascii="Arial" w:hAnsi="Arial" w:cs="Arial"/>
                <w:color w:val="323130"/>
                <w:sz w:val="21"/>
                <w:szCs w:val="21"/>
              </w:rPr>
            </w:pPr>
            <w:r>
              <w:rPr>
                <w:rFonts w:ascii="Arial" w:hAnsi="Arial" w:cs="Arial"/>
              </w:rPr>
              <w:t>Baseline year</w:t>
            </w:r>
          </w:p>
        </w:tc>
        <w:tc>
          <w:tcPr>
            <w:tcW w:w="6237" w:type="dxa"/>
            <w:vAlign w:val="center"/>
          </w:tcPr>
          <w:p w14:paraId="499D415F" w14:textId="5230CF1C" w:rsidR="00A754B8" w:rsidRDefault="00E4562E" w:rsidP="00E4562E">
            <w:pPr>
              <w:rPr>
                <w:rFonts w:ascii="Arial" w:hAnsi="Arial" w:cs="Arial"/>
              </w:rPr>
            </w:pPr>
            <w:r>
              <w:rPr>
                <w:rFonts w:ascii="Arial" w:hAnsi="Arial" w:cs="Arial"/>
              </w:rPr>
              <w:t>There were a large volume of online applications particularly for business grants during Q1 leading to a higher reported percentage. These have tailed off during Q2 which coupled with an increase in r</w:t>
            </w:r>
            <w:r w:rsidR="009D3837">
              <w:rPr>
                <w:rFonts w:ascii="Arial" w:hAnsi="Arial" w:cs="Arial"/>
              </w:rPr>
              <w:t xml:space="preserve">eports through the contact centre (by phone) </w:t>
            </w:r>
            <w:r>
              <w:rPr>
                <w:rFonts w:ascii="Arial" w:hAnsi="Arial" w:cs="Arial"/>
              </w:rPr>
              <w:t xml:space="preserve">has led to a fall </w:t>
            </w:r>
            <w:r w:rsidR="005A26DE">
              <w:rPr>
                <w:rFonts w:ascii="Arial" w:hAnsi="Arial" w:cs="Arial"/>
              </w:rPr>
              <w:t xml:space="preserve">in </w:t>
            </w:r>
            <w:r>
              <w:rPr>
                <w:rFonts w:ascii="Arial" w:hAnsi="Arial" w:cs="Arial"/>
              </w:rPr>
              <w:t xml:space="preserve">the figure shown. </w:t>
            </w:r>
            <w:r w:rsidR="005A26DE">
              <w:rPr>
                <w:rFonts w:ascii="Arial" w:hAnsi="Arial" w:cs="Arial"/>
              </w:rPr>
              <w:t xml:space="preserve"> </w:t>
            </w:r>
          </w:p>
        </w:tc>
      </w:tr>
      <w:tr w:rsidR="00FF5FB5" w:rsidRPr="002E7893" w14:paraId="3246CE98" w14:textId="77777777" w:rsidTr="2D652033">
        <w:trPr>
          <w:trHeight w:val="454"/>
        </w:trPr>
        <w:tc>
          <w:tcPr>
            <w:tcW w:w="3964" w:type="dxa"/>
            <w:vAlign w:val="center"/>
          </w:tcPr>
          <w:p w14:paraId="516A6044" w14:textId="3F97AAA2" w:rsidR="00FF5FB5" w:rsidRPr="00F7207B" w:rsidDel="00461EB3" w:rsidRDefault="00FF5FB5" w:rsidP="00DA117A">
            <w:pPr>
              <w:rPr>
                <w:rFonts w:ascii="Arial" w:eastAsia="Times New Roman" w:hAnsi="Arial" w:cs="Arial"/>
                <w:color w:val="000000"/>
                <w:lang w:eastAsia="en-GB"/>
              </w:rPr>
            </w:pPr>
            <w:r>
              <w:rPr>
                <w:rFonts w:ascii="Arial" w:hAnsi="Arial" w:cs="Arial"/>
              </w:rPr>
              <w:t xml:space="preserve">Overall time ICT systems available for use </w:t>
            </w:r>
          </w:p>
        </w:tc>
        <w:tc>
          <w:tcPr>
            <w:tcW w:w="1134" w:type="dxa"/>
            <w:vAlign w:val="center"/>
          </w:tcPr>
          <w:p w14:paraId="78FBF555" w14:textId="06CB12F9" w:rsidR="00FF5FB5" w:rsidRPr="00B90892" w:rsidRDefault="00FF5FB5" w:rsidP="0039442F">
            <w:pPr>
              <w:ind w:left="-102" w:right="-109"/>
              <w:jc w:val="center"/>
              <w:rPr>
                <w:rFonts w:ascii="Arial" w:hAnsi="Arial" w:cs="Arial"/>
              </w:rPr>
            </w:pPr>
            <w:r>
              <w:rPr>
                <w:rFonts w:ascii="Arial" w:hAnsi="Arial" w:cs="Arial"/>
              </w:rPr>
              <w:t>100%</w:t>
            </w:r>
          </w:p>
        </w:tc>
        <w:tc>
          <w:tcPr>
            <w:tcW w:w="993" w:type="dxa"/>
            <w:shd w:val="clear" w:color="auto" w:fill="92D050"/>
            <w:vAlign w:val="center"/>
          </w:tcPr>
          <w:p w14:paraId="74FFAC8C" w14:textId="517905AB" w:rsidR="00FF5FB5" w:rsidRPr="00B90892" w:rsidRDefault="00FF5FB5" w:rsidP="0039442F">
            <w:pPr>
              <w:jc w:val="center"/>
              <w:rPr>
                <w:rFonts w:ascii="Arial" w:hAnsi="Arial" w:cs="Arial"/>
              </w:rPr>
            </w:pPr>
            <w:r>
              <w:rPr>
                <w:rFonts w:ascii="Arial" w:hAnsi="Arial" w:cs="Arial"/>
              </w:rPr>
              <w:t>100%</w:t>
            </w:r>
          </w:p>
        </w:tc>
        <w:tc>
          <w:tcPr>
            <w:tcW w:w="992" w:type="dxa"/>
            <w:shd w:val="clear" w:color="auto" w:fill="92D050"/>
            <w:vAlign w:val="center"/>
          </w:tcPr>
          <w:p w14:paraId="5C294F3D" w14:textId="15D8A01B" w:rsidR="00FF5FB5" w:rsidRPr="00A754B8" w:rsidRDefault="00A754B8" w:rsidP="00A754B8">
            <w:pPr>
              <w:jc w:val="center"/>
              <w:rPr>
                <w:rFonts w:ascii="Arial" w:eastAsia="Wingdings 3" w:hAnsi="Arial" w:cs="Arial"/>
              </w:rPr>
            </w:pPr>
            <w:r>
              <w:rPr>
                <w:rFonts w:ascii="Arial" w:eastAsia="Wingdings 3" w:hAnsi="Arial" w:cs="Arial"/>
              </w:rPr>
              <w:t>100%</w:t>
            </w:r>
          </w:p>
        </w:tc>
        <w:tc>
          <w:tcPr>
            <w:tcW w:w="828" w:type="dxa"/>
            <w:vAlign w:val="center"/>
          </w:tcPr>
          <w:p w14:paraId="0F8B5BA4" w14:textId="205446B5" w:rsidR="00FF5FB5" w:rsidRPr="00B90892" w:rsidRDefault="00FF5FB5" w:rsidP="0039442F">
            <w:pPr>
              <w:jc w:val="center"/>
              <w:rPr>
                <w:rFonts w:ascii="Arial" w:hAnsi="Arial" w:cs="Arial"/>
              </w:rPr>
            </w:pPr>
            <w:r w:rsidRPr="00E14EFF">
              <w:rPr>
                <w:rFonts w:ascii="Wingdings 3" w:eastAsia="Wingdings 3" w:hAnsi="Wingdings 3" w:cs="Wingdings 3"/>
                <w:sz w:val="32"/>
                <w:szCs w:val="21"/>
              </w:rPr>
              <w:t></w:t>
            </w:r>
          </w:p>
        </w:tc>
        <w:tc>
          <w:tcPr>
            <w:tcW w:w="1156" w:type="dxa"/>
            <w:vAlign w:val="center"/>
          </w:tcPr>
          <w:p w14:paraId="704761E4" w14:textId="1F07CF24" w:rsidR="00FF5FB5" w:rsidRPr="00B90892" w:rsidRDefault="00FF5FB5" w:rsidP="0039442F">
            <w:pPr>
              <w:jc w:val="center"/>
              <w:rPr>
                <w:rFonts w:ascii="Arial" w:hAnsi="Arial" w:cs="Arial"/>
              </w:rPr>
            </w:pPr>
            <w:r>
              <w:rPr>
                <w:rFonts w:ascii="Arial" w:hAnsi="Arial" w:cs="Arial"/>
              </w:rPr>
              <w:t>99.9%</w:t>
            </w:r>
          </w:p>
        </w:tc>
        <w:tc>
          <w:tcPr>
            <w:tcW w:w="6237" w:type="dxa"/>
            <w:vAlign w:val="center"/>
          </w:tcPr>
          <w:p w14:paraId="7D835452" w14:textId="4386049F" w:rsidR="00FF5FB5" w:rsidRPr="00B90892" w:rsidRDefault="6034BBFB" w:rsidP="009D3837">
            <w:pPr>
              <w:rPr>
                <w:rFonts w:ascii="Arial" w:hAnsi="Arial" w:cs="Arial"/>
              </w:rPr>
            </w:pPr>
            <w:r w:rsidRPr="2D652033">
              <w:rPr>
                <w:rFonts w:ascii="Arial" w:hAnsi="Arial" w:cs="Arial"/>
              </w:rPr>
              <w:t xml:space="preserve">The IT team </w:t>
            </w:r>
            <w:r w:rsidR="7A980CD8" w:rsidRPr="2D652033">
              <w:rPr>
                <w:rFonts w:ascii="Arial" w:hAnsi="Arial" w:cs="Arial"/>
              </w:rPr>
              <w:t>contin</w:t>
            </w:r>
            <w:r w:rsidR="58D8DC09" w:rsidRPr="2D652033">
              <w:rPr>
                <w:rFonts w:ascii="Arial" w:hAnsi="Arial" w:cs="Arial"/>
              </w:rPr>
              <w:t>ue</w:t>
            </w:r>
            <w:r w:rsidR="7A980CD8" w:rsidRPr="2D652033">
              <w:rPr>
                <w:rFonts w:ascii="Arial" w:hAnsi="Arial" w:cs="Arial"/>
              </w:rPr>
              <w:t xml:space="preserve"> to ensure that ICT systems </w:t>
            </w:r>
            <w:r w:rsidRPr="2D652033">
              <w:rPr>
                <w:rFonts w:ascii="Arial" w:hAnsi="Arial" w:cs="Arial"/>
              </w:rPr>
              <w:t xml:space="preserve">support the organisation </w:t>
            </w:r>
            <w:r w:rsidR="58D8DC09" w:rsidRPr="2D652033">
              <w:rPr>
                <w:rFonts w:ascii="Arial" w:hAnsi="Arial" w:cs="Arial"/>
              </w:rPr>
              <w:t xml:space="preserve">effectively, </w:t>
            </w:r>
            <w:r w:rsidRPr="2D652033">
              <w:rPr>
                <w:rFonts w:ascii="Arial" w:hAnsi="Arial" w:cs="Arial"/>
              </w:rPr>
              <w:t xml:space="preserve">enabling almost all staff to work from home seamlessly. </w:t>
            </w:r>
          </w:p>
        </w:tc>
      </w:tr>
    </w:tbl>
    <w:p w14:paraId="60BB0BF4" w14:textId="77777777" w:rsidR="0053129E" w:rsidRDefault="0053129E" w:rsidP="00825A0A">
      <w:pPr>
        <w:tabs>
          <w:tab w:val="left" w:pos="1134"/>
        </w:tabs>
        <w:spacing w:after="200"/>
        <w:rPr>
          <w:rFonts w:ascii="Arial" w:hAnsi="Arial" w:cs="Arial"/>
          <w:b/>
          <w:bCs/>
          <w:color w:val="1B90B5"/>
          <w:sz w:val="56"/>
          <w:szCs w:val="36"/>
        </w:rPr>
      </w:pPr>
    </w:p>
    <w:p w14:paraId="40DFC614" w14:textId="77777777" w:rsidR="0053129E" w:rsidRDefault="0053129E">
      <w:pPr>
        <w:rPr>
          <w:rFonts w:ascii="Arial" w:hAnsi="Arial" w:cs="Arial"/>
          <w:b/>
          <w:bCs/>
          <w:color w:val="1B90B5"/>
          <w:sz w:val="56"/>
          <w:szCs w:val="36"/>
        </w:rPr>
      </w:pPr>
      <w:r>
        <w:rPr>
          <w:rFonts w:ascii="Arial" w:hAnsi="Arial" w:cs="Arial"/>
          <w:b/>
          <w:bCs/>
          <w:color w:val="1B90B5"/>
          <w:sz w:val="56"/>
          <w:szCs w:val="36"/>
        </w:rPr>
        <w:br w:type="page"/>
      </w:r>
    </w:p>
    <w:p w14:paraId="5098EE9E" w14:textId="21DD4654" w:rsidR="00825A0A" w:rsidRPr="000270FC" w:rsidRDefault="00825A0A" w:rsidP="000270FC">
      <w:pPr>
        <w:pStyle w:val="Heading1"/>
        <w:jc w:val="left"/>
        <w:rPr>
          <w:b/>
          <w:i w:val="0"/>
          <w:color w:val="1B90B5"/>
          <w:sz w:val="56"/>
          <w:szCs w:val="56"/>
        </w:rPr>
      </w:pPr>
      <w:r w:rsidRPr="000270FC">
        <w:rPr>
          <w:b/>
          <w:i w:val="0"/>
          <w:color w:val="1B90B5"/>
          <w:sz w:val="56"/>
          <w:szCs w:val="56"/>
        </w:rPr>
        <w:lastRenderedPageBreak/>
        <w:t>Thriving towns and villages</w:t>
      </w:r>
    </w:p>
    <w:p w14:paraId="16071465" w14:textId="77777777" w:rsidR="00825A0A" w:rsidRPr="00275ACD" w:rsidRDefault="00825A0A" w:rsidP="00825A0A">
      <w:pPr>
        <w:spacing w:before="80" w:after="240"/>
        <w:ind w:left="34" w:right="-11"/>
      </w:pPr>
      <w:r w:rsidRPr="00275ACD">
        <w:rPr>
          <w:rFonts w:ascii="Arial" w:hAnsi="Arial" w:cs="Arial"/>
          <w:b/>
          <w:bCs/>
          <w:sz w:val="28"/>
          <w:szCs w:val="20"/>
        </w:rPr>
        <w:t xml:space="preserve">Our objectives:  </w:t>
      </w:r>
      <w:r w:rsidRPr="00A23F92">
        <w:rPr>
          <w:rFonts w:ascii="Arial" w:hAnsi="Arial" w:cs="Arial"/>
          <w:sz w:val="24"/>
        </w:rPr>
        <w:t xml:space="preserve">Support businesses  </w:t>
      </w:r>
      <w:r>
        <w:rPr>
          <w:rFonts w:ascii="Symbol" w:eastAsia="Symbol" w:hAnsi="Symbol" w:cs="Symbol"/>
          <w:bCs/>
          <w:sz w:val="24"/>
          <w:szCs w:val="26"/>
        </w:rPr>
        <w:t></w:t>
      </w:r>
      <w:r w:rsidRPr="00A23F92">
        <w:rPr>
          <w:rFonts w:ascii="Arial" w:hAnsi="Arial" w:cs="Arial"/>
          <w:sz w:val="24"/>
        </w:rPr>
        <w:t xml:space="preserve"> </w:t>
      </w:r>
      <w:r>
        <w:rPr>
          <w:rFonts w:ascii="Arial" w:hAnsi="Arial" w:cs="Arial"/>
          <w:sz w:val="24"/>
        </w:rPr>
        <w:t xml:space="preserve"> </w:t>
      </w:r>
      <w:r w:rsidRPr="00103089">
        <w:rPr>
          <w:rFonts w:ascii="Arial" w:hAnsi="Arial" w:cs="Arial"/>
          <w:sz w:val="24"/>
        </w:rPr>
        <w:t>Create deliverable town plans that enable our towns to adapt to the changing nature of the high street</w:t>
      </w:r>
      <w:r>
        <w:rPr>
          <w:rFonts w:ascii="Arial" w:hAnsi="Arial" w:cs="Arial"/>
          <w:sz w:val="24"/>
        </w:rPr>
        <w:t xml:space="preserve">  </w:t>
      </w:r>
      <w:r>
        <w:rPr>
          <w:rFonts w:ascii="Symbol" w:eastAsia="Symbol" w:hAnsi="Symbol" w:cs="Symbol"/>
          <w:bCs/>
          <w:sz w:val="24"/>
          <w:szCs w:val="26"/>
        </w:rPr>
        <w:t></w:t>
      </w:r>
      <w:r>
        <w:rPr>
          <w:rFonts w:ascii="Arial" w:hAnsi="Arial" w:cs="Arial"/>
          <w:sz w:val="24"/>
        </w:rPr>
        <w:t xml:space="preserve"> </w:t>
      </w:r>
      <w:r w:rsidRPr="00A23F92">
        <w:rPr>
          <w:rFonts w:ascii="Arial" w:hAnsi="Arial" w:cs="Arial"/>
          <w:sz w:val="24"/>
        </w:rPr>
        <w:t>Ensure there are suitable, affordable, decent homes for all</w:t>
      </w:r>
      <w:r>
        <w:rPr>
          <w:rFonts w:ascii="Arial" w:hAnsi="Arial" w:cs="Arial"/>
          <w:sz w:val="24"/>
        </w:rPr>
        <w:t xml:space="preserve">  </w:t>
      </w:r>
      <w:r>
        <w:rPr>
          <w:rFonts w:ascii="Symbol" w:eastAsia="Symbol" w:hAnsi="Symbol" w:cs="Symbol"/>
          <w:bCs/>
          <w:sz w:val="24"/>
          <w:szCs w:val="26"/>
        </w:rPr>
        <w:t></w:t>
      </w:r>
      <w:r>
        <w:rPr>
          <w:rFonts w:ascii="Arial" w:hAnsi="Arial" w:cs="Arial"/>
          <w:sz w:val="24"/>
        </w:rPr>
        <w:t xml:space="preserve"> </w:t>
      </w:r>
      <w:r w:rsidRPr="00103089">
        <w:rPr>
          <w:rFonts w:ascii="Arial" w:hAnsi="Arial" w:cs="Arial"/>
          <w:sz w:val="24"/>
        </w:rPr>
        <w:t>Give people a reason to visit our towns (festivals, events, cultural and sporting activities, markets)</w:t>
      </w:r>
      <w:r>
        <w:rPr>
          <w:rFonts w:ascii="Arial" w:hAnsi="Arial" w:cs="Arial"/>
          <w:sz w:val="24"/>
        </w:rPr>
        <w:t xml:space="preserve">  </w:t>
      </w:r>
      <w:r>
        <w:rPr>
          <w:rFonts w:ascii="Symbol" w:eastAsia="Symbol" w:hAnsi="Symbol" w:cs="Symbol"/>
          <w:bCs/>
          <w:sz w:val="24"/>
          <w:szCs w:val="26"/>
        </w:rPr>
        <w:t></w:t>
      </w:r>
      <w:r>
        <w:rPr>
          <w:rFonts w:ascii="Arial" w:hAnsi="Arial" w:cs="Arial"/>
          <w:sz w:val="24"/>
        </w:rPr>
        <w:t xml:space="preserve">  </w:t>
      </w:r>
      <w:r w:rsidRPr="00103089">
        <w:rPr>
          <w:rFonts w:ascii="Arial" w:hAnsi="Arial" w:cs="Arial"/>
          <w:sz w:val="24"/>
        </w:rPr>
        <w:t>Increase the number of people living in our town centres</w:t>
      </w:r>
      <w:r>
        <w:rPr>
          <w:rFonts w:ascii="Arial" w:hAnsi="Arial" w:cs="Arial"/>
          <w:sz w:val="24"/>
        </w:rPr>
        <w:t xml:space="preserve">  </w:t>
      </w:r>
      <w:r>
        <w:rPr>
          <w:rFonts w:ascii="Symbol" w:eastAsia="Symbol" w:hAnsi="Symbol" w:cs="Symbol"/>
          <w:bCs/>
          <w:sz w:val="24"/>
          <w:szCs w:val="26"/>
        </w:rPr>
        <w:t></w:t>
      </w:r>
      <w:r>
        <w:rPr>
          <w:rFonts w:ascii="Arial" w:hAnsi="Arial" w:cs="Arial"/>
          <w:sz w:val="24"/>
        </w:rPr>
        <w:t xml:space="preserve">  </w:t>
      </w:r>
      <w:r w:rsidRPr="00103089">
        <w:rPr>
          <w:rFonts w:ascii="Arial" w:hAnsi="Arial" w:cs="Arial"/>
          <w:sz w:val="24"/>
        </w:rPr>
        <w:t>Build communities, not just homes</w:t>
      </w:r>
    </w:p>
    <w:tbl>
      <w:tblPr>
        <w:tblStyle w:val="TableGrid"/>
        <w:tblW w:w="15304" w:type="dxa"/>
        <w:tblLayout w:type="fixed"/>
        <w:tblLook w:val="04A0" w:firstRow="1" w:lastRow="0" w:firstColumn="1" w:lastColumn="0" w:noHBand="0" w:noVBand="1"/>
      </w:tblPr>
      <w:tblGrid>
        <w:gridCol w:w="3964"/>
        <w:gridCol w:w="1559"/>
        <w:gridCol w:w="1701"/>
        <w:gridCol w:w="923"/>
        <w:gridCol w:w="920"/>
        <w:gridCol w:w="6237"/>
      </w:tblGrid>
      <w:tr w:rsidR="00E00CE4" w:rsidRPr="00BF4D99" w14:paraId="6B981371" w14:textId="77777777" w:rsidTr="2D652033">
        <w:trPr>
          <w:tblHeader/>
        </w:trPr>
        <w:tc>
          <w:tcPr>
            <w:tcW w:w="3964" w:type="dxa"/>
            <w:shd w:val="clear" w:color="auto" w:fill="1B90B5"/>
          </w:tcPr>
          <w:p w14:paraId="15C37772" w14:textId="139FC1C3" w:rsidR="00E00CE4" w:rsidRPr="00A66E8F" w:rsidRDefault="00E00CE4" w:rsidP="004909F0">
            <w:pPr>
              <w:rPr>
                <w:rFonts w:ascii="Arial" w:hAnsi="Arial" w:cs="Arial"/>
                <w:b/>
                <w:color w:val="FFFFFF" w:themeColor="background1"/>
              </w:rPr>
            </w:pPr>
            <w:r w:rsidRPr="00241EFB">
              <w:rPr>
                <w:rFonts w:ascii="Arial" w:hAnsi="Arial" w:cs="Arial"/>
                <w:b/>
                <w:color w:val="FFFFFF" w:themeColor="background1"/>
                <w:sz w:val="24"/>
              </w:rPr>
              <w:t>Key projects/activities</w:t>
            </w:r>
          </w:p>
        </w:tc>
        <w:tc>
          <w:tcPr>
            <w:tcW w:w="1559" w:type="dxa"/>
            <w:shd w:val="clear" w:color="auto" w:fill="1B90B5"/>
          </w:tcPr>
          <w:p w14:paraId="06CA0744" w14:textId="77777777" w:rsidR="00E00CE4" w:rsidRPr="00241EFB" w:rsidRDefault="00E00CE4" w:rsidP="004909F0">
            <w:pPr>
              <w:rPr>
                <w:rFonts w:ascii="Arial" w:hAnsi="Arial" w:cs="Arial"/>
                <w:b/>
                <w:color w:val="FFFFFF" w:themeColor="background1"/>
                <w:sz w:val="24"/>
              </w:rPr>
            </w:pPr>
            <w:r w:rsidRPr="00241EFB">
              <w:rPr>
                <w:rFonts w:ascii="Arial" w:hAnsi="Arial" w:cs="Arial"/>
                <w:b/>
                <w:color w:val="FFFFFF" w:themeColor="background1"/>
                <w:sz w:val="24"/>
              </w:rPr>
              <w:t>Timescales</w:t>
            </w:r>
          </w:p>
        </w:tc>
        <w:tc>
          <w:tcPr>
            <w:tcW w:w="1701" w:type="dxa"/>
            <w:shd w:val="clear" w:color="auto" w:fill="1B90B5"/>
          </w:tcPr>
          <w:p w14:paraId="0F856DAF" w14:textId="77777777" w:rsidR="00E00CE4" w:rsidRPr="00241EFB" w:rsidRDefault="00E00CE4" w:rsidP="004909F0">
            <w:pPr>
              <w:rPr>
                <w:rFonts w:ascii="Arial" w:hAnsi="Arial" w:cs="Arial"/>
                <w:b/>
                <w:color w:val="FFFFFF" w:themeColor="background1"/>
                <w:sz w:val="24"/>
              </w:rPr>
            </w:pPr>
            <w:r w:rsidRPr="00241EFB">
              <w:rPr>
                <w:rFonts w:ascii="Arial" w:hAnsi="Arial" w:cs="Arial"/>
                <w:b/>
                <w:color w:val="FFFFFF" w:themeColor="background1"/>
                <w:sz w:val="24"/>
              </w:rPr>
              <w:t>Responsible Head of Service</w:t>
            </w:r>
          </w:p>
        </w:tc>
        <w:tc>
          <w:tcPr>
            <w:tcW w:w="923" w:type="dxa"/>
            <w:shd w:val="clear" w:color="auto" w:fill="1B90B5"/>
          </w:tcPr>
          <w:p w14:paraId="0CCD8BF9" w14:textId="77777777" w:rsidR="00E00CE4" w:rsidRPr="00241EFB" w:rsidRDefault="00E00CE4" w:rsidP="004909F0">
            <w:pPr>
              <w:rPr>
                <w:rFonts w:ascii="Arial" w:hAnsi="Arial" w:cs="Arial"/>
                <w:b/>
                <w:color w:val="FFFFFF" w:themeColor="background1"/>
                <w:sz w:val="24"/>
              </w:rPr>
            </w:pPr>
            <w:r w:rsidRPr="009E3140">
              <w:rPr>
                <w:rFonts w:ascii="Arial" w:hAnsi="Arial" w:cs="Arial"/>
                <w:b/>
                <w:color w:val="FFFFFF" w:themeColor="background1"/>
                <w:sz w:val="24"/>
              </w:rPr>
              <w:t>Q1 RAG status</w:t>
            </w:r>
            <w:r w:rsidRPr="009E3140">
              <w:rPr>
                <w:rFonts w:ascii="Arial" w:hAnsi="Arial" w:cs="Arial"/>
                <w:b/>
                <w:color w:val="FFFFFF" w:themeColor="background1"/>
                <w:sz w:val="24"/>
              </w:rPr>
              <w:tab/>
            </w:r>
          </w:p>
        </w:tc>
        <w:tc>
          <w:tcPr>
            <w:tcW w:w="920" w:type="dxa"/>
            <w:tcBorders>
              <w:bottom w:val="single" w:sz="4" w:space="0" w:color="auto"/>
            </w:tcBorders>
            <w:shd w:val="clear" w:color="auto" w:fill="1B90B5"/>
          </w:tcPr>
          <w:p w14:paraId="0C87DA0C" w14:textId="0614C2A1" w:rsidR="00E00CE4" w:rsidRPr="009E3140" w:rsidRDefault="00E00CE4" w:rsidP="00E00CE4">
            <w:pPr>
              <w:ind w:right="-108"/>
              <w:rPr>
                <w:rFonts w:ascii="Arial" w:hAnsi="Arial" w:cs="Arial"/>
                <w:b/>
                <w:color w:val="FFFFFF" w:themeColor="background1"/>
                <w:sz w:val="24"/>
              </w:rPr>
            </w:pPr>
            <w:r>
              <w:rPr>
                <w:rFonts w:ascii="Arial" w:hAnsi="Arial" w:cs="Arial"/>
                <w:b/>
                <w:color w:val="FFFFFF" w:themeColor="background1"/>
                <w:sz w:val="24"/>
              </w:rPr>
              <w:t>Q2 RAG status</w:t>
            </w:r>
          </w:p>
        </w:tc>
        <w:tc>
          <w:tcPr>
            <w:tcW w:w="6237" w:type="dxa"/>
            <w:tcBorders>
              <w:bottom w:val="single" w:sz="4" w:space="0" w:color="auto"/>
            </w:tcBorders>
            <w:shd w:val="clear" w:color="auto" w:fill="1B90B5"/>
          </w:tcPr>
          <w:p w14:paraId="447F882E" w14:textId="79CB9337" w:rsidR="00E00CE4" w:rsidRPr="00241EFB" w:rsidRDefault="00610C11" w:rsidP="00610C11">
            <w:pPr>
              <w:rPr>
                <w:rFonts w:ascii="Arial" w:hAnsi="Arial" w:cs="Arial"/>
                <w:b/>
                <w:color w:val="FFFFFF" w:themeColor="background1"/>
                <w:sz w:val="24"/>
              </w:rPr>
            </w:pPr>
            <w:r>
              <w:rPr>
                <w:rFonts w:ascii="Arial" w:hAnsi="Arial" w:cs="Arial"/>
                <w:b/>
                <w:color w:val="FFFFFF" w:themeColor="background1"/>
                <w:sz w:val="24"/>
              </w:rPr>
              <w:t>C</w:t>
            </w:r>
            <w:r w:rsidR="00E00CE4" w:rsidRPr="009E3140">
              <w:rPr>
                <w:rFonts w:ascii="Arial" w:hAnsi="Arial" w:cs="Arial"/>
                <w:b/>
                <w:color w:val="FFFFFF" w:themeColor="background1"/>
                <w:sz w:val="24"/>
              </w:rPr>
              <w:t>ommentary (and management action where red/amber)</w:t>
            </w:r>
          </w:p>
        </w:tc>
      </w:tr>
      <w:tr w:rsidR="009A71BD" w14:paraId="1D37CC00" w14:textId="77777777" w:rsidTr="2D652033">
        <w:trPr>
          <w:trHeight w:val="938"/>
        </w:trPr>
        <w:tc>
          <w:tcPr>
            <w:tcW w:w="3964" w:type="dxa"/>
            <w:vAlign w:val="center"/>
          </w:tcPr>
          <w:p w14:paraId="442EC1DF" w14:textId="5DE9C374" w:rsidR="009A71BD" w:rsidRPr="00733F7B" w:rsidRDefault="009A71BD" w:rsidP="009A71BD">
            <w:pPr>
              <w:rPr>
                <w:rFonts w:ascii="Arial" w:eastAsia="Times New Roman" w:hAnsi="Arial" w:cs="Arial"/>
                <w:color w:val="000000"/>
                <w:lang w:eastAsia="en-GB"/>
              </w:rPr>
            </w:pPr>
            <w:r w:rsidRPr="005A76B3">
              <w:rPr>
                <w:rFonts w:ascii="Arial" w:hAnsi="Arial" w:cs="Arial"/>
                <w:b/>
                <w:szCs w:val="24"/>
              </w:rPr>
              <w:t>Maryport Regeneration Programme:</w:t>
            </w:r>
            <w:r w:rsidRPr="005A76B3">
              <w:rPr>
                <w:rFonts w:ascii="Arial" w:hAnsi="Arial" w:cs="Arial"/>
                <w:szCs w:val="24"/>
              </w:rPr>
              <w:t xml:space="preserve"> work to access funding from the Future High Street Fund and Heritage Action Zone and development of the town centre and waterfront plans, building in new intelligence about the impacts of the pandemic.  </w:t>
            </w:r>
          </w:p>
        </w:tc>
        <w:tc>
          <w:tcPr>
            <w:tcW w:w="1559" w:type="dxa"/>
            <w:vAlign w:val="center"/>
          </w:tcPr>
          <w:p w14:paraId="50D07089" w14:textId="6BFC1440" w:rsidR="009A71BD" w:rsidRPr="00733F7B" w:rsidRDefault="009A71BD" w:rsidP="009A71BD">
            <w:pPr>
              <w:rPr>
                <w:rFonts w:ascii="Arial" w:hAnsi="Arial" w:cs="Arial"/>
              </w:rPr>
            </w:pPr>
            <w:r w:rsidRPr="005A76B3">
              <w:rPr>
                <w:rFonts w:ascii="Arial" w:hAnsi="Arial" w:cs="Arial"/>
                <w:szCs w:val="24"/>
              </w:rPr>
              <w:t>Submit FHS business case by end July 2020</w:t>
            </w:r>
          </w:p>
        </w:tc>
        <w:tc>
          <w:tcPr>
            <w:tcW w:w="1701" w:type="dxa"/>
            <w:vAlign w:val="center"/>
          </w:tcPr>
          <w:p w14:paraId="677A2084" w14:textId="40A1D6A8" w:rsidR="009A71BD" w:rsidRDefault="009A71BD" w:rsidP="009A71BD">
            <w:pPr>
              <w:rPr>
                <w:rFonts w:ascii="Arial" w:hAnsi="Arial" w:cs="Arial"/>
              </w:rPr>
            </w:pPr>
            <w:r w:rsidRPr="005A76B3">
              <w:rPr>
                <w:rFonts w:ascii="Arial" w:hAnsi="Arial" w:cs="Arial"/>
                <w:szCs w:val="24"/>
              </w:rPr>
              <w:t>Programme Director (Maryport)</w:t>
            </w:r>
          </w:p>
        </w:tc>
        <w:tc>
          <w:tcPr>
            <w:tcW w:w="923" w:type="dxa"/>
            <w:tcBorders>
              <w:top w:val="single" w:sz="4" w:space="0" w:color="auto"/>
              <w:left w:val="single" w:sz="4" w:space="0" w:color="auto"/>
              <w:bottom w:val="single" w:sz="4" w:space="0" w:color="auto"/>
              <w:right w:val="single" w:sz="4" w:space="0" w:color="auto"/>
            </w:tcBorders>
            <w:shd w:val="clear" w:color="auto" w:fill="92D050"/>
            <w:vAlign w:val="center"/>
          </w:tcPr>
          <w:p w14:paraId="533E659B" w14:textId="6E570B18" w:rsidR="009A71BD" w:rsidRDefault="009A71BD" w:rsidP="009A71BD">
            <w:pPr>
              <w:jc w:val="center"/>
              <w:rPr>
                <w:rFonts w:ascii="Arial" w:hAnsi="Arial" w:cs="Arial"/>
              </w:rPr>
            </w:pPr>
            <w:r>
              <w:rPr>
                <w:rFonts w:ascii="Arial" w:hAnsi="Arial" w:cs="Arial"/>
              </w:rPr>
              <w:t>G</w:t>
            </w:r>
          </w:p>
        </w:tc>
        <w:tc>
          <w:tcPr>
            <w:tcW w:w="920" w:type="dxa"/>
            <w:tcBorders>
              <w:top w:val="single" w:sz="4" w:space="0" w:color="auto"/>
              <w:left w:val="single" w:sz="4" w:space="0" w:color="auto"/>
              <w:bottom w:val="single" w:sz="4" w:space="0" w:color="auto"/>
              <w:right w:val="single" w:sz="4" w:space="0" w:color="auto"/>
            </w:tcBorders>
            <w:shd w:val="clear" w:color="auto" w:fill="92D050"/>
            <w:vAlign w:val="center"/>
          </w:tcPr>
          <w:p w14:paraId="51E11571" w14:textId="50223109" w:rsidR="009A71BD" w:rsidRDefault="009A71BD" w:rsidP="009A71BD">
            <w:pPr>
              <w:jc w:val="center"/>
              <w:rPr>
                <w:rFonts w:ascii="Arial" w:hAnsi="Arial" w:cs="Arial"/>
              </w:rPr>
            </w:pPr>
            <w:r>
              <w:rPr>
                <w:rFonts w:ascii="Arial" w:hAnsi="Arial" w:cs="Arial"/>
              </w:rPr>
              <w:t>G</w:t>
            </w:r>
          </w:p>
        </w:tc>
        <w:tc>
          <w:tcPr>
            <w:tcW w:w="6237" w:type="dxa"/>
            <w:tcBorders>
              <w:top w:val="single" w:sz="4" w:space="0" w:color="auto"/>
              <w:left w:val="nil"/>
              <w:bottom w:val="single" w:sz="4" w:space="0" w:color="auto"/>
              <w:right w:val="single" w:sz="4" w:space="0" w:color="auto"/>
            </w:tcBorders>
            <w:shd w:val="clear" w:color="auto" w:fill="auto"/>
            <w:vAlign w:val="center"/>
          </w:tcPr>
          <w:p w14:paraId="1BCCDC9A" w14:textId="4AC01876" w:rsidR="009A71BD" w:rsidRDefault="009A71BD" w:rsidP="009A71BD">
            <w:pPr>
              <w:rPr>
                <w:rFonts w:ascii="Arial" w:hAnsi="Arial" w:cs="Arial"/>
              </w:rPr>
            </w:pPr>
            <w:r>
              <w:rPr>
                <w:rFonts w:ascii="Arial" w:hAnsi="Arial" w:cs="Arial"/>
                <w:color w:val="000000"/>
              </w:rPr>
              <w:t>This quarter has seen the success of further funding being awarded to the HAZ Programme in the shape of an additional 10k from Historic England to support a public street art project for the town. The painting will be inspired by Maryport's history and will give the opportunity for a group of young people to interact with the artist as he is painting. In relation to the FHSF we were able to provide further information to MHCLG on the justification of the programme which resulted in the bid being strengthened.</w:t>
            </w:r>
          </w:p>
        </w:tc>
      </w:tr>
      <w:tr w:rsidR="009A71BD" w14:paraId="60F5FEAB" w14:textId="77777777" w:rsidTr="2D652033">
        <w:trPr>
          <w:trHeight w:val="2339"/>
        </w:trPr>
        <w:tc>
          <w:tcPr>
            <w:tcW w:w="3964" w:type="dxa"/>
            <w:vAlign w:val="center"/>
          </w:tcPr>
          <w:p w14:paraId="1BB4CB2B" w14:textId="75ECCFBB" w:rsidR="009A71BD" w:rsidRPr="002E528C" w:rsidRDefault="009A71BD" w:rsidP="009A71BD">
            <w:pPr>
              <w:rPr>
                <w:rFonts w:ascii="Arial" w:hAnsi="Arial" w:cs="Arial"/>
                <w:b/>
                <w:szCs w:val="24"/>
              </w:rPr>
            </w:pPr>
            <w:r w:rsidRPr="002E528C">
              <w:rPr>
                <w:rFonts w:ascii="Arial" w:hAnsi="Arial" w:cs="Arial"/>
                <w:b/>
                <w:szCs w:val="24"/>
              </w:rPr>
              <w:t xml:space="preserve">Workington Town Deal: </w:t>
            </w:r>
          </w:p>
          <w:p w14:paraId="01E2E5D3" w14:textId="77777777" w:rsidR="009A71BD" w:rsidRPr="004F77F6" w:rsidRDefault="009A71BD" w:rsidP="009A71BD">
            <w:pPr>
              <w:rPr>
                <w:rFonts w:ascii="Arial" w:hAnsi="Arial" w:cs="Arial"/>
                <w:szCs w:val="24"/>
              </w:rPr>
            </w:pPr>
            <w:r w:rsidRPr="004F77F6">
              <w:rPr>
                <w:rFonts w:ascii="Arial" w:hAnsi="Arial" w:cs="Arial"/>
                <w:szCs w:val="24"/>
              </w:rPr>
              <w:t>- Develop investment plan building in intelligence about the impacts of the pandemic</w:t>
            </w:r>
          </w:p>
          <w:p w14:paraId="0099DD7E" w14:textId="789781C7" w:rsidR="009A71BD" w:rsidRPr="00215E6B" w:rsidRDefault="009A71BD" w:rsidP="009A71BD">
            <w:pPr>
              <w:rPr>
                <w:rFonts w:ascii="Arial" w:eastAsia="Times New Roman" w:hAnsi="Arial" w:cs="Arial"/>
                <w:color w:val="000000"/>
                <w:highlight w:val="lightGray"/>
                <w:lang w:eastAsia="en-GB"/>
              </w:rPr>
            </w:pPr>
            <w:r w:rsidRPr="004F77F6">
              <w:rPr>
                <w:rFonts w:ascii="Arial" w:hAnsi="Arial" w:cs="Arial"/>
                <w:szCs w:val="24"/>
              </w:rPr>
              <w:t>- Develop Delivery Plan once funding secured for 2021 onwards</w:t>
            </w:r>
          </w:p>
        </w:tc>
        <w:tc>
          <w:tcPr>
            <w:tcW w:w="1559" w:type="dxa"/>
            <w:vAlign w:val="center"/>
          </w:tcPr>
          <w:p w14:paraId="675A9CFD" w14:textId="77777777" w:rsidR="009A71BD" w:rsidRPr="00DE0B90" w:rsidRDefault="009A71BD" w:rsidP="009A71BD">
            <w:pPr>
              <w:rPr>
                <w:rFonts w:ascii="Arial" w:hAnsi="Arial" w:cs="Arial"/>
                <w:szCs w:val="24"/>
              </w:rPr>
            </w:pPr>
          </w:p>
          <w:p w14:paraId="1A4583D5" w14:textId="77777777" w:rsidR="009A71BD" w:rsidRPr="00DE0B90" w:rsidRDefault="009A71BD" w:rsidP="009A71BD">
            <w:pPr>
              <w:rPr>
                <w:rFonts w:ascii="Arial" w:hAnsi="Arial" w:cs="Arial"/>
                <w:szCs w:val="24"/>
              </w:rPr>
            </w:pPr>
            <w:r w:rsidRPr="00DE0B90">
              <w:rPr>
                <w:rFonts w:ascii="Arial" w:hAnsi="Arial" w:cs="Arial"/>
                <w:szCs w:val="24"/>
              </w:rPr>
              <w:t>by August 2020</w:t>
            </w:r>
          </w:p>
          <w:p w14:paraId="29D2D4CF" w14:textId="77DF47C2" w:rsidR="009A71BD" w:rsidRPr="00971DF5" w:rsidRDefault="009A71BD" w:rsidP="009A71BD">
            <w:pPr>
              <w:rPr>
                <w:rFonts w:ascii="Arial" w:hAnsi="Arial" w:cs="Arial"/>
              </w:rPr>
            </w:pPr>
            <w:r w:rsidRPr="00DE0B90">
              <w:rPr>
                <w:rFonts w:ascii="Arial" w:hAnsi="Arial" w:cs="Arial"/>
                <w:szCs w:val="24"/>
              </w:rPr>
              <w:t>from 2021</w:t>
            </w:r>
          </w:p>
        </w:tc>
        <w:tc>
          <w:tcPr>
            <w:tcW w:w="1701" w:type="dxa"/>
            <w:vAlign w:val="center"/>
          </w:tcPr>
          <w:p w14:paraId="183ADF39" w14:textId="4BD0E552" w:rsidR="009A71BD" w:rsidRPr="00971DF5" w:rsidRDefault="009A71BD" w:rsidP="009A71BD">
            <w:pPr>
              <w:rPr>
                <w:rFonts w:ascii="Arial" w:hAnsi="Arial" w:cs="Arial"/>
              </w:rPr>
            </w:pPr>
            <w:r>
              <w:rPr>
                <w:rFonts w:ascii="Arial" w:hAnsi="Arial" w:cs="Arial"/>
                <w:szCs w:val="24"/>
              </w:rPr>
              <w:t>Programme Director (Workington)</w:t>
            </w:r>
          </w:p>
        </w:tc>
        <w:tc>
          <w:tcPr>
            <w:tcW w:w="923" w:type="dxa"/>
            <w:tcBorders>
              <w:top w:val="single" w:sz="4" w:space="0" w:color="auto"/>
              <w:left w:val="single" w:sz="4" w:space="0" w:color="auto"/>
              <w:bottom w:val="single" w:sz="4" w:space="0" w:color="auto"/>
              <w:right w:val="single" w:sz="4" w:space="0" w:color="auto"/>
            </w:tcBorders>
            <w:shd w:val="clear" w:color="auto" w:fill="92D050"/>
            <w:vAlign w:val="center"/>
          </w:tcPr>
          <w:p w14:paraId="25923A67" w14:textId="5A8652BB" w:rsidR="009A71BD" w:rsidRDefault="009A71BD" w:rsidP="009A71BD">
            <w:pPr>
              <w:jc w:val="center"/>
              <w:rPr>
                <w:rFonts w:ascii="Arial" w:hAnsi="Arial" w:cs="Arial"/>
              </w:rPr>
            </w:pPr>
            <w:r>
              <w:rPr>
                <w:rFonts w:ascii="Arial" w:hAnsi="Arial" w:cs="Arial"/>
              </w:rPr>
              <w:t>G</w:t>
            </w:r>
          </w:p>
        </w:tc>
        <w:tc>
          <w:tcPr>
            <w:tcW w:w="920" w:type="dxa"/>
            <w:tcBorders>
              <w:top w:val="single" w:sz="4" w:space="0" w:color="auto"/>
              <w:left w:val="single" w:sz="4" w:space="0" w:color="auto"/>
              <w:bottom w:val="single" w:sz="4" w:space="0" w:color="auto"/>
              <w:right w:val="single" w:sz="4" w:space="0" w:color="auto"/>
            </w:tcBorders>
            <w:shd w:val="clear" w:color="auto" w:fill="92D050"/>
            <w:vAlign w:val="center"/>
          </w:tcPr>
          <w:p w14:paraId="66A5EB81" w14:textId="467739D0" w:rsidR="009A71BD" w:rsidRDefault="009A71BD" w:rsidP="009A71BD">
            <w:pPr>
              <w:jc w:val="center"/>
              <w:rPr>
                <w:rFonts w:ascii="Arial" w:hAnsi="Arial" w:cs="Arial"/>
              </w:rPr>
            </w:pPr>
            <w:r>
              <w:rPr>
                <w:rFonts w:ascii="Arial" w:hAnsi="Arial" w:cs="Arial"/>
              </w:rPr>
              <w:t>G</w:t>
            </w:r>
          </w:p>
        </w:tc>
        <w:tc>
          <w:tcPr>
            <w:tcW w:w="6237" w:type="dxa"/>
            <w:tcBorders>
              <w:top w:val="nil"/>
              <w:left w:val="nil"/>
              <w:bottom w:val="single" w:sz="4" w:space="0" w:color="auto"/>
              <w:right w:val="single" w:sz="4" w:space="0" w:color="auto"/>
            </w:tcBorders>
            <w:shd w:val="clear" w:color="auto" w:fill="auto"/>
            <w:vAlign w:val="center"/>
          </w:tcPr>
          <w:p w14:paraId="75D75572" w14:textId="28CA7272" w:rsidR="009A71BD" w:rsidRDefault="009A71BD" w:rsidP="009A71BD">
            <w:pPr>
              <w:rPr>
                <w:rFonts w:ascii="Arial" w:hAnsi="Arial" w:cs="Arial"/>
              </w:rPr>
            </w:pPr>
            <w:r>
              <w:rPr>
                <w:rFonts w:ascii="Arial" w:hAnsi="Arial" w:cs="Arial"/>
                <w:color w:val="000000"/>
              </w:rPr>
              <w:t xml:space="preserve">At the meeting on 14 October the Executive approved in principle the Workington Town Investment Plan for submission to Government by the end of October. The Council has received £750,000 of funding for the delivery of capital projects </w:t>
            </w:r>
            <w:r w:rsidR="00950837">
              <w:rPr>
                <w:rFonts w:ascii="Arial" w:hAnsi="Arial" w:cs="Arial"/>
                <w:color w:val="000000"/>
              </w:rPr>
              <w:t>within</w:t>
            </w:r>
            <w:r>
              <w:rPr>
                <w:rFonts w:ascii="Arial" w:hAnsi="Arial" w:cs="Arial"/>
                <w:color w:val="000000"/>
              </w:rPr>
              <w:t xml:space="preserve"> the current </w:t>
            </w:r>
            <w:r w:rsidR="007B4087">
              <w:rPr>
                <w:rFonts w:ascii="Arial" w:hAnsi="Arial" w:cs="Arial"/>
                <w:color w:val="000000"/>
              </w:rPr>
              <w:t>financial</w:t>
            </w:r>
            <w:r>
              <w:rPr>
                <w:rFonts w:ascii="Arial" w:hAnsi="Arial" w:cs="Arial"/>
                <w:color w:val="000000"/>
              </w:rPr>
              <w:t xml:space="preserve"> year and this money is to be spent on the </w:t>
            </w:r>
            <w:r w:rsidR="007B4087">
              <w:rPr>
                <w:rFonts w:ascii="Arial" w:hAnsi="Arial" w:cs="Arial"/>
                <w:color w:val="000000"/>
              </w:rPr>
              <w:t>acquisition</w:t>
            </w:r>
            <w:r>
              <w:rPr>
                <w:rFonts w:ascii="Arial" w:hAnsi="Arial" w:cs="Arial"/>
                <w:color w:val="000000"/>
              </w:rPr>
              <w:t xml:space="preserve"> and demolition of the former Opera House building and public realm improvements including the Central Way underpass and the creation of an outdoor events space and an outdoor gym at the Leisure Centre.</w:t>
            </w:r>
          </w:p>
        </w:tc>
      </w:tr>
      <w:tr w:rsidR="009A71BD" w14:paraId="773FA6D8" w14:textId="77777777" w:rsidTr="2D652033">
        <w:trPr>
          <w:trHeight w:val="571"/>
        </w:trPr>
        <w:tc>
          <w:tcPr>
            <w:tcW w:w="3964" w:type="dxa"/>
            <w:vAlign w:val="center"/>
          </w:tcPr>
          <w:p w14:paraId="56521305" w14:textId="31C8283F" w:rsidR="009A71BD" w:rsidRPr="00E24403" w:rsidRDefault="009A71BD" w:rsidP="009A71BD">
            <w:pPr>
              <w:rPr>
                <w:rFonts w:ascii="Arial" w:eastAsia="Times New Roman" w:hAnsi="Arial" w:cs="Arial"/>
                <w:color w:val="000000"/>
                <w:lang w:eastAsia="en-GB"/>
              </w:rPr>
            </w:pPr>
            <w:r w:rsidRPr="002E528C">
              <w:rPr>
                <w:rFonts w:ascii="Arial" w:hAnsi="Arial" w:cs="Arial"/>
                <w:b/>
              </w:rPr>
              <w:t>Undertake business engagement and support activity</w:t>
            </w:r>
            <w:r w:rsidRPr="004F77F6">
              <w:rPr>
                <w:rFonts w:ascii="Arial" w:hAnsi="Arial" w:cs="Arial"/>
              </w:rPr>
              <w:t xml:space="preserve"> to enable the Council to better understand businesses issues, challenges and ideas and feed those through to local, regional and national forums.</w:t>
            </w:r>
          </w:p>
        </w:tc>
        <w:tc>
          <w:tcPr>
            <w:tcW w:w="1559" w:type="dxa"/>
            <w:vAlign w:val="center"/>
          </w:tcPr>
          <w:p w14:paraId="25B07C03" w14:textId="4B5F2135" w:rsidR="009A71BD" w:rsidRDefault="009A71BD" w:rsidP="009A71BD">
            <w:pPr>
              <w:rPr>
                <w:rFonts w:ascii="Arial" w:hAnsi="Arial" w:cs="Arial"/>
              </w:rPr>
            </w:pPr>
            <w:r>
              <w:rPr>
                <w:rFonts w:ascii="Arial" w:hAnsi="Arial" w:cs="Arial"/>
                <w:szCs w:val="24"/>
              </w:rPr>
              <w:t>from April 2020</w:t>
            </w:r>
          </w:p>
        </w:tc>
        <w:tc>
          <w:tcPr>
            <w:tcW w:w="1701" w:type="dxa"/>
            <w:vAlign w:val="center"/>
          </w:tcPr>
          <w:p w14:paraId="1B89DE93" w14:textId="77777777" w:rsidR="009A71BD" w:rsidRDefault="009A71BD" w:rsidP="009A71BD">
            <w:pPr>
              <w:rPr>
                <w:rFonts w:ascii="Arial" w:hAnsi="Arial" w:cs="Arial"/>
                <w:szCs w:val="24"/>
              </w:rPr>
            </w:pPr>
            <w:r>
              <w:rPr>
                <w:rFonts w:ascii="Arial" w:hAnsi="Arial" w:cs="Arial"/>
                <w:szCs w:val="24"/>
              </w:rPr>
              <w:t xml:space="preserve">Programme Director (Workington) &amp; </w:t>
            </w:r>
          </w:p>
          <w:p w14:paraId="7E9246B8" w14:textId="132C6B99" w:rsidR="009A71BD" w:rsidRDefault="009A71BD" w:rsidP="009A71BD">
            <w:pPr>
              <w:rPr>
                <w:rFonts w:ascii="Arial" w:hAnsi="Arial" w:cs="Arial"/>
              </w:rPr>
            </w:pPr>
            <w:r>
              <w:rPr>
                <w:rFonts w:ascii="Arial" w:hAnsi="Arial" w:cs="Arial"/>
                <w:szCs w:val="24"/>
              </w:rPr>
              <w:t xml:space="preserve">Strategy, Policy and Performance  </w:t>
            </w:r>
          </w:p>
        </w:tc>
        <w:tc>
          <w:tcPr>
            <w:tcW w:w="923" w:type="dxa"/>
            <w:tcBorders>
              <w:top w:val="nil"/>
              <w:left w:val="nil"/>
              <w:bottom w:val="nil"/>
              <w:right w:val="nil"/>
            </w:tcBorders>
            <w:shd w:val="clear" w:color="auto" w:fill="92D050"/>
            <w:vAlign w:val="center"/>
          </w:tcPr>
          <w:p w14:paraId="4CAFF38F" w14:textId="28DBDB81" w:rsidR="009A71BD" w:rsidRPr="004924D8" w:rsidRDefault="009A71BD" w:rsidP="009A71BD">
            <w:pPr>
              <w:jc w:val="center"/>
              <w:rPr>
                <w:rFonts w:ascii="Arial" w:hAnsi="Arial" w:cs="Arial"/>
              </w:rPr>
            </w:pPr>
            <w:r w:rsidRPr="004924D8">
              <w:rPr>
                <w:rFonts w:ascii="Arial" w:hAnsi="Arial" w:cs="Arial"/>
                <w:bCs/>
              </w:rPr>
              <w:t>G</w:t>
            </w:r>
          </w:p>
        </w:tc>
        <w:tc>
          <w:tcPr>
            <w:tcW w:w="920" w:type="dxa"/>
            <w:tcBorders>
              <w:top w:val="single" w:sz="4" w:space="0" w:color="auto"/>
              <w:left w:val="single" w:sz="4" w:space="0" w:color="auto"/>
              <w:bottom w:val="single" w:sz="4" w:space="0" w:color="auto"/>
              <w:right w:val="single" w:sz="4" w:space="0" w:color="auto"/>
            </w:tcBorders>
            <w:shd w:val="clear" w:color="auto" w:fill="92D050"/>
            <w:vAlign w:val="center"/>
          </w:tcPr>
          <w:p w14:paraId="3E82456D" w14:textId="62F8EE0B" w:rsidR="009A71BD" w:rsidRDefault="009A71BD" w:rsidP="009A71BD">
            <w:pPr>
              <w:jc w:val="center"/>
              <w:rPr>
                <w:rFonts w:ascii="Arial" w:hAnsi="Arial" w:cs="Arial"/>
              </w:rPr>
            </w:pPr>
            <w:r>
              <w:rPr>
                <w:rFonts w:ascii="Arial" w:hAnsi="Arial" w:cs="Arial"/>
              </w:rPr>
              <w:t>G</w:t>
            </w:r>
          </w:p>
        </w:tc>
        <w:tc>
          <w:tcPr>
            <w:tcW w:w="6237" w:type="dxa"/>
            <w:tcBorders>
              <w:top w:val="nil"/>
              <w:left w:val="nil"/>
              <w:bottom w:val="single" w:sz="4" w:space="0" w:color="auto"/>
              <w:right w:val="single" w:sz="4" w:space="0" w:color="auto"/>
            </w:tcBorders>
            <w:shd w:val="clear" w:color="auto" w:fill="auto"/>
            <w:vAlign w:val="center"/>
          </w:tcPr>
          <w:p w14:paraId="151F9263" w14:textId="02D1147C" w:rsidR="009A71BD" w:rsidRDefault="009A71BD" w:rsidP="009A71BD">
            <w:pPr>
              <w:rPr>
                <w:rFonts w:ascii="Arial" w:hAnsi="Arial" w:cs="Arial"/>
              </w:rPr>
            </w:pPr>
            <w:r>
              <w:rPr>
                <w:rFonts w:ascii="Arial" w:hAnsi="Arial" w:cs="Arial"/>
                <w:color w:val="000000"/>
              </w:rPr>
              <w:t xml:space="preserve">A Business Services Coordinator was appointed on 5 October 2020 to understand businesses needs and coordinate our approach to support businesses across our full range of services. The Coordinator is developing a joint work programme with SMART objectives that will incorporate the work of the existing Business Engagement Manager and the </w:t>
            </w:r>
            <w:r>
              <w:rPr>
                <w:rFonts w:ascii="Arial" w:hAnsi="Arial" w:cs="Arial"/>
                <w:color w:val="000000"/>
              </w:rPr>
              <w:lastRenderedPageBreak/>
              <w:t>newly appointed Business Communications and Engagement Officer.</w:t>
            </w:r>
          </w:p>
        </w:tc>
      </w:tr>
      <w:tr w:rsidR="009A71BD" w14:paraId="0C5D5E6E" w14:textId="77777777" w:rsidTr="2D652033">
        <w:trPr>
          <w:trHeight w:val="2697"/>
        </w:trPr>
        <w:tc>
          <w:tcPr>
            <w:tcW w:w="3964" w:type="dxa"/>
            <w:vAlign w:val="center"/>
          </w:tcPr>
          <w:p w14:paraId="4F8A7FFA" w14:textId="68E8D898" w:rsidR="009A71BD" w:rsidRPr="00E24403" w:rsidRDefault="009A71BD" w:rsidP="009A71BD">
            <w:pPr>
              <w:rPr>
                <w:rFonts w:ascii="Arial" w:eastAsia="Times New Roman" w:hAnsi="Arial" w:cs="Arial"/>
                <w:color w:val="000000"/>
                <w:lang w:eastAsia="en-GB"/>
              </w:rPr>
            </w:pPr>
            <w:r w:rsidRPr="002E528C">
              <w:rPr>
                <w:rFonts w:ascii="Arial" w:hAnsi="Arial" w:cs="Arial"/>
                <w:b/>
                <w:szCs w:val="24"/>
              </w:rPr>
              <w:lastRenderedPageBreak/>
              <w:t>Undertake work with partners to support the recovery of the visitor economy</w:t>
            </w:r>
            <w:r>
              <w:rPr>
                <w:rFonts w:ascii="Arial" w:hAnsi="Arial" w:cs="Arial"/>
                <w:b/>
                <w:szCs w:val="24"/>
              </w:rPr>
              <w:t xml:space="preserve"> </w:t>
            </w:r>
            <w:r w:rsidRPr="004861C8">
              <w:rPr>
                <w:rFonts w:ascii="Arial" w:hAnsi="Arial" w:cs="Arial"/>
                <w:szCs w:val="24"/>
              </w:rPr>
              <w:t xml:space="preserve">including </w:t>
            </w:r>
            <w:r>
              <w:rPr>
                <w:rFonts w:ascii="Arial" w:hAnsi="Arial" w:cs="Arial"/>
                <w:szCs w:val="24"/>
              </w:rPr>
              <w:t xml:space="preserve">assessing the impact, considering appropriate interventions and delivering actions as part of a recovery plan for the visitor sector, markets and events. </w:t>
            </w:r>
          </w:p>
        </w:tc>
        <w:tc>
          <w:tcPr>
            <w:tcW w:w="1559" w:type="dxa"/>
            <w:vAlign w:val="center"/>
          </w:tcPr>
          <w:p w14:paraId="0F5C8AF7" w14:textId="6D66E0E5" w:rsidR="009A71BD" w:rsidRDefault="009A71BD" w:rsidP="009A71BD">
            <w:pPr>
              <w:rPr>
                <w:rFonts w:ascii="Arial" w:hAnsi="Arial" w:cs="Arial"/>
              </w:rPr>
            </w:pPr>
            <w:r>
              <w:rPr>
                <w:rFonts w:ascii="Arial" w:hAnsi="Arial" w:cs="Arial"/>
                <w:szCs w:val="24"/>
              </w:rPr>
              <w:t>from June 2020</w:t>
            </w:r>
          </w:p>
        </w:tc>
        <w:tc>
          <w:tcPr>
            <w:tcW w:w="1701" w:type="dxa"/>
            <w:vAlign w:val="center"/>
          </w:tcPr>
          <w:p w14:paraId="1ECEB4FE" w14:textId="77777777" w:rsidR="009A71BD" w:rsidRDefault="009A71BD" w:rsidP="009A71BD">
            <w:pPr>
              <w:rPr>
                <w:rFonts w:ascii="Arial" w:hAnsi="Arial" w:cs="Arial"/>
                <w:szCs w:val="24"/>
              </w:rPr>
            </w:pPr>
            <w:r>
              <w:rPr>
                <w:rFonts w:ascii="Arial" w:hAnsi="Arial" w:cs="Arial"/>
                <w:szCs w:val="24"/>
              </w:rPr>
              <w:t xml:space="preserve">Programme Director (Workington) &amp; </w:t>
            </w:r>
          </w:p>
          <w:p w14:paraId="6C4BE3D8" w14:textId="7B023B3A" w:rsidR="009A71BD" w:rsidRDefault="009A71BD" w:rsidP="009A71BD">
            <w:pPr>
              <w:rPr>
                <w:rFonts w:ascii="Arial" w:hAnsi="Arial" w:cs="Arial"/>
              </w:rPr>
            </w:pPr>
            <w:r>
              <w:rPr>
                <w:rFonts w:ascii="Arial" w:hAnsi="Arial" w:cs="Arial"/>
                <w:szCs w:val="24"/>
              </w:rPr>
              <w:t xml:space="preserve">Strategy, Policy and Performance  </w:t>
            </w:r>
          </w:p>
        </w:tc>
        <w:tc>
          <w:tcPr>
            <w:tcW w:w="923" w:type="dxa"/>
            <w:tcBorders>
              <w:top w:val="single" w:sz="4" w:space="0" w:color="auto"/>
              <w:left w:val="single" w:sz="4" w:space="0" w:color="auto"/>
              <w:bottom w:val="single" w:sz="4" w:space="0" w:color="auto"/>
              <w:right w:val="single" w:sz="4" w:space="0" w:color="auto"/>
            </w:tcBorders>
            <w:shd w:val="clear" w:color="auto" w:fill="92D050"/>
            <w:vAlign w:val="center"/>
          </w:tcPr>
          <w:p w14:paraId="3670C590" w14:textId="03D87826" w:rsidR="009A71BD" w:rsidRDefault="009A71BD" w:rsidP="009A71BD">
            <w:pPr>
              <w:jc w:val="center"/>
              <w:rPr>
                <w:rFonts w:ascii="Arial" w:hAnsi="Arial" w:cs="Arial"/>
              </w:rPr>
            </w:pPr>
            <w:r>
              <w:rPr>
                <w:rFonts w:ascii="Arial" w:hAnsi="Arial" w:cs="Arial"/>
              </w:rPr>
              <w:t>G</w:t>
            </w:r>
          </w:p>
        </w:tc>
        <w:tc>
          <w:tcPr>
            <w:tcW w:w="920" w:type="dxa"/>
            <w:tcBorders>
              <w:top w:val="single" w:sz="4" w:space="0" w:color="auto"/>
              <w:left w:val="single" w:sz="4" w:space="0" w:color="auto"/>
              <w:bottom w:val="single" w:sz="4" w:space="0" w:color="auto"/>
              <w:right w:val="single" w:sz="4" w:space="0" w:color="auto"/>
            </w:tcBorders>
            <w:shd w:val="clear" w:color="auto" w:fill="92D050"/>
            <w:vAlign w:val="center"/>
          </w:tcPr>
          <w:p w14:paraId="62E2A305" w14:textId="2A0B8F85" w:rsidR="009A71BD" w:rsidRDefault="009A71BD" w:rsidP="009A71BD">
            <w:pPr>
              <w:jc w:val="center"/>
              <w:rPr>
                <w:rFonts w:ascii="Arial" w:hAnsi="Arial" w:cs="Arial"/>
              </w:rPr>
            </w:pPr>
            <w:r>
              <w:rPr>
                <w:rFonts w:ascii="Arial" w:hAnsi="Arial" w:cs="Arial"/>
              </w:rPr>
              <w:t>G</w:t>
            </w:r>
          </w:p>
        </w:tc>
        <w:tc>
          <w:tcPr>
            <w:tcW w:w="6237" w:type="dxa"/>
            <w:tcBorders>
              <w:top w:val="nil"/>
              <w:left w:val="nil"/>
              <w:bottom w:val="single" w:sz="4" w:space="0" w:color="auto"/>
              <w:right w:val="single" w:sz="4" w:space="0" w:color="auto"/>
            </w:tcBorders>
            <w:shd w:val="clear" w:color="auto" w:fill="auto"/>
            <w:vAlign w:val="center"/>
          </w:tcPr>
          <w:p w14:paraId="1F57F4F7" w14:textId="00477165" w:rsidR="009A71BD" w:rsidRDefault="009A71BD" w:rsidP="00006AD2">
            <w:pPr>
              <w:rPr>
                <w:rFonts w:ascii="Arial" w:hAnsi="Arial" w:cs="Arial"/>
              </w:rPr>
            </w:pPr>
            <w:r w:rsidRPr="2D652033">
              <w:rPr>
                <w:rFonts w:ascii="Arial" w:hAnsi="Arial" w:cs="Arial"/>
                <w:color w:val="000000" w:themeColor="text1"/>
              </w:rPr>
              <w:t xml:space="preserve">A long list of recovery projects has been evaluated and three projects selected with the best fit to encourage visits and support business. They will be worked up with industry representatives to a stage where they can be implemented at a time that is safe and beneficial for the industry. The three projects are a Residents' Week, a Taste of the Sea Festival in Maryport and a cycling sportive event in Silloth. It is </w:t>
            </w:r>
            <w:r w:rsidR="582917F6" w:rsidRPr="2D652033">
              <w:rPr>
                <w:rFonts w:ascii="Arial" w:hAnsi="Arial" w:cs="Arial"/>
                <w:color w:val="000000" w:themeColor="text1"/>
              </w:rPr>
              <w:t>anticipated</w:t>
            </w:r>
            <w:r w:rsidRPr="2D652033">
              <w:rPr>
                <w:rFonts w:ascii="Arial" w:hAnsi="Arial" w:cs="Arial"/>
                <w:color w:val="000000" w:themeColor="text1"/>
              </w:rPr>
              <w:t xml:space="preserve"> that all three will run in 2020/21. The new activity is in addition to adding "safe" </w:t>
            </w:r>
            <w:r w:rsidR="582917F6" w:rsidRPr="2D652033">
              <w:rPr>
                <w:rFonts w:ascii="Arial" w:hAnsi="Arial" w:cs="Arial"/>
                <w:color w:val="000000" w:themeColor="text1"/>
              </w:rPr>
              <w:t>itinerary</w:t>
            </w:r>
            <w:r w:rsidRPr="2D652033">
              <w:rPr>
                <w:rFonts w:ascii="Arial" w:hAnsi="Arial" w:cs="Arial"/>
                <w:color w:val="000000" w:themeColor="text1"/>
              </w:rPr>
              <w:t xml:space="preserve"> content to our Visit Allerdale website, planning the new tourism breakfast briefing online and regular e</w:t>
            </w:r>
            <w:r w:rsidR="00006AD2">
              <w:rPr>
                <w:rFonts w:ascii="Arial" w:hAnsi="Arial" w:cs="Arial"/>
                <w:color w:val="000000" w:themeColor="text1"/>
              </w:rPr>
              <w:t>-</w:t>
            </w:r>
            <w:r w:rsidRPr="2D652033">
              <w:rPr>
                <w:rFonts w:ascii="Arial" w:hAnsi="Arial" w:cs="Arial"/>
                <w:color w:val="000000" w:themeColor="text1"/>
              </w:rPr>
              <w:t xml:space="preserve">newsletter communications with the sector. Outdoor markets in Keswick, Workington, Silloth and Wigton are operation with </w:t>
            </w:r>
            <w:r w:rsidR="582917F6" w:rsidRPr="2D652033">
              <w:rPr>
                <w:rFonts w:ascii="Arial" w:hAnsi="Arial" w:cs="Arial"/>
                <w:color w:val="000000" w:themeColor="text1"/>
              </w:rPr>
              <w:t>hygiene</w:t>
            </w:r>
            <w:r w:rsidRPr="2D652033">
              <w:rPr>
                <w:rFonts w:ascii="Arial" w:hAnsi="Arial" w:cs="Arial"/>
                <w:color w:val="000000" w:themeColor="text1"/>
              </w:rPr>
              <w:t xml:space="preserve"> and social distancing measures in place. Keswick continues to operate with reduced stall capacity to aid social </w:t>
            </w:r>
            <w:r w:rsidR="582917F6" w:rsidRPr="2D652033">
              <w:rPr>
                <w:rFonts w:ascii="Arial" w:hAnsi="Arial" w:cs="Arial"/>
                <w:color w:val="000000" w:themeColor="text1"/>
              </w:rPr>
              <w:t>distancing</w:t>
            </w:r>
            <w:r w:rsidRPr="2D652033">
              <w:rPr>
                <w:rFonts w:ascii="Arial" w:hAnsi="Arial" w:cs="Arial"/>
                <w:color w:val="000000" w:themeColor="text1"/>
              </w:rPr>
              <w:t>. Taste Cockermouth food festivals in September and December were cancelled due to Covid</w:t>
            </w:r>
            <w:r w:rsidR="00006AD2">
              <w:rPr>
                <w:rFonts w:ascii="Arial" w:hAnsi="Arial" w:cs="Arial"/>
                <w:color w:val="000000" w:themeColor="text1"/>
              </w:rPr>
              <w:t>-19</w:t>
            </w:r>
            <w:r w:rsidRPr="2D652033">
              <w:rPr>
                <w:rFonts w:ascii="Arial" w:hAnsi="Arial" w:cs="Arial"/>
                <w:color w:val="000000" w:themeColor="text1"/>
              </w:rPr>
              <w:t xml:space="preserve"> as was the </w:t>
            </w:r>
            <w:r w:rsidR="582917F6" w:rsidRPr="2D652033">
              <w:rPr>
                <w:rFonts w:ascii="Arial" w:hAnsi="Arial" w:cs="Arial"/>
                <w:color w:val="000000" w:themeColor="text1"/>
              </w:rPr>
              <w:t>Workington</w:t>
            </w:r>
            <w:r w:rsidRPr="2D652033">
              <w:rPr>
                <w:rFonts w:ascii="Arial" w:hAnsi="Arial" w:cs="Arial"/>
                <w:color w:val="000000" w:themeColor="text1"/>
              </w:rPr>
              <w:t xml:space="preserve"> activity planned for December to support the retail and </w:t>
            </w:r>
            <w:r w:rsidR="450910DB" w:rsidRPr="2D652033">
              <w:rPr>
                <w:rFonts w:ascii="Arial" w:hAnsi="Arial" w:cs="Arial"/>
                <w:color w:val="000000" w:themeColor="text1"/>
              </w:rPr>
              <w:t>night time</w:t>
            </w:r>
            <w:r w:rsidRPr="2D652033">
              <w:rPr>
                <w:rFonts w:ascii="Arial" w:hAnsi="Arial" w:cs="Arial"/>
                <w:color w:val="000000" w:themeColor="text1"/>
              </w:rPr>
              <w:t xml:space="preserve"> sectors.</w:t>
            </w:r>
          </w:p>
        </w:tc>
      </w:tr>
      <w:tr w:rsidR="009A71BD" w14:paraId="5E863DB3" w14:textId="77777777" w:rsidTr="2D652033">
        <w:trPr>
          <w:trHeight w:val="1133"/>
        </w:trPr>
        <w:tc>
          <w:tcPr>
            <w:tcW w:w="3964" w:type="dxa"/>
            <w:vAlign w:val="center"/>
          </w:tcPr>
          <w:p w14:paraId="5924C8A8" w14:textId="72DCD460" w:rsidR="009A71BD" w:rsidRPr="00E24403" w:rsidRDefault="009A71BD" w:rsidP="009A71BD">
            <w:pPr>
              <w:rPr>
                <w:rFonts w:ascii="Arial" w:eastAsia="Times New Roman" w:hAnsi="Arial" w:cs="Arial"/>
                <w:color w:val="000000"/>
                <w:lang w:eastAsia="en-GB"/>
              </w:rPr>
            </w:pPr>
            <w:r w:rsidRPr="002E528C">
              <w:rPr>
                <w:rFonts w:ascii="Arial" w:hAnsi="Arial" w:cs="Arial"/>
                <w:b/>
                <w:szCs w:val="24"/>
              </w:rPr>
              <w:t>Complete the Allonby to Silloth coastal cycle path extension</w:t>
            </w:r>
            <w:r w:rsidRPr="004F77F6">
              <w:rPr>
                <w:rFonts w:ascii="Arial" w:hAnsi="Arial" w:cs="Arial"/>
                <w:szCs w:val="24"/>
              </w:rPr>
              <w:t xml:space="preserve"> to support the visitor economy and health and wellbeing agenda</w:t>
            </w:r>
          </w:p>
        </w:tc>
        <w:tc>
          <w:tcPr>
            <w:tcW w:w="1559" w:type="dxa"/>
            <w:vAlign w:val="center"/>
          </w:tcPr>
          <w:p w14:paraId="7332AAD2" w14:textId="69A20E58" w:rsidR="009A71BD" w:rsidRDefault="009A71BD" w:rsidP="009A71BD">
            <w:pPr>
              <w:rPr>
                <w:rFonts w:ascii="Arial" w:hAnsi="Arial" w:cs="Arial"/>
              </w:rPr>
            </w:pPr>
            <w:r>
              <w:rPr>
                <w:rFonts w:ascii="Arial" w:hAnsi="Arial" w:cs="Arial"/>
                <w:szCs w:val="24"/>
              </w:rPr>
              <w:t>Open by 2021</w:t>
            </w:r>
          </w:p>
        </w:tc>
        <w:tc>
          <w:tcPr>
            <w:tcW w:w="1701" w:type="dxa"/>
            <w:vAlign w:val="center"/>
          </w:tcPr>
          <w:p w14:paraId="79D039AA" w14:textId="090D36D0" w:rsidR="009A71BD" w:rsidRDefault="009A71BD" w:rsidP="009A71BD">
            <w:pPr>
              <w:rPr>
                <w:rFonts w:ascii="Arial" w:hAnsi="Arial" w:cs="Arial"/>
              </w:rPr>
            </w:pPr>
            <w:r>
              <w:rPr>
                <w:rFonts w:ascii="Arial" w:hAnsi="Arial" w:cs="Arial"/>
                <w:szCs w:val="24"/>
              </w:rPr>
              <w:t>Programme Director (Workington)</w:t>
            </w:r>
          </w:p>
        </w:tc>
        <w:tc>
          <w:tcPr>
            <w:tcW w:w="923" w:type="dxa"/>
            <w:tcBorders>
              <w:top w:val="single" w:sz="4" w:space="0" w:color="auto"/>
              <w:left w:val="single" w:sz="4" w:space="0" w:color="auto"/>
              <w:bottom w:val="single" w:sz="4" w:space="0" w:color="auto"/>
              <w:right w:val="single" w:sz="4" w:space="0" w:color="auto"/>
            </w:tcBorders>
            <w:shd w:val="clear" w:color="auto" w:fill="92D050"/>
            <w:vAlign w:val="center"/>
          </w:tcPr>
          <w:p w14:paraId="444126DE" w14:textId="0916278C" w:rsidR="009A71BD" w:rsidRDefault="009A71BD" w:rsidP="009A71BD">
            <w:pPr>
              <w:jc w:val="center"/>
              <w:rPr>
                <w:rFonts w:ascii="Arial" w:hAnsi="Arial" w:cs="Arial"/>
              </w:rPr>
            </w:pPr>
            <w:r>
              <w:rPr>
                <w:rFonts w:ascii="Arial" w:hAnsi="Arial" w:cs="Arial"/>
              </w:rPr>
              <w:t>G</w:t>
            </w:r>
          </w:p>
        </w:tc>
        <w:tc>
          <w:tcPr>
            <w:tcW w:w="920" w:type="dxa"/>
            <w:tcBorders>
              <w:top w:val="single" w:sz="4" w:space="0" w:color="auto"/>
              <w:left w:val="single" w:sz="4" w:space="0" w:color="auto"/>
              <w:bottom w:val="single" w:sz="4" w:space="0" w:color="auto"/>
              <w:right w:val="single" w:sz="4" w:space="0" w:color="auto"/>
            </w:tcBorders>
            <w:shd w:val="clear" w:color="auto" w:fill="92D050"/>
            <w:vAlign w:val="center"/>
          </w:tcPr>
          <w:p w14:paraId="4008DCBE" w14:textId="109F72B8" w:rsidR="009A71BD" w:rsidRDefault="009A71BD" w:rsidP="009A71BD">
            <w:pPr>
              <w:jc w:val="center"/>
              <w:rPr>
                <w:rFonts w:ascii="Arial" w:hAnsi="Arial" w:cs="Arial"/>
              </w:rPr>
            </w:pPr>
            <w:r>
              <w:rPr>
                <w:rFonts w:ascii="Arial" w:hAnsi="Arial" w:cs="Arial"/>
              </w:rPr>
              <w:t>G</w:t>
            </w:r>
          </w:p>
        </w:tc>
        <w:tc>
          <w:tcPr>
            <w:tcW w:w="6237" w:type="dxa"/>
            <w:tcBorders>
              <w:top w:val="nil"/>
              <w:left w:val="nil"/>
              <w:bottom w:val="single" w:sz="4" w:space="0" w:color="auto"/>
              <w:right w:val="single" w:sz="4" w:space="0" w:color="auto"/>
            </w:tcBorders>
            <w:shd w:val="clear" w:color="auto" w:fill="auto"/>
            <w:vAlign w:val="center"/>
          </w:tcPr>
          <w:p w14:paraId="127CF316" w14:textId="5000AAA0" w:rsidR="009A71BD" w:rsidRDefault="009A71BD" w:rsidP="009A71BD">
            <w:pPr>
              <w:rPr>
                <w:rFonts w:ascii="Arial" w:hAnsi="Arial" w:cs="Arial"/>
              </w:rPr>
            </w:pPr>
            <w:r>
              <w:rPr>
                <w:rFonts w:ascii="Arial" w:hAnsi="Arial" w:cs="Arial"/>
                <w:color w:val="000000"/>
              </w:rPr>
              <w:t>Still awaiting final consent from United Utilities for the path to pass over a very small section of their land.</w:t>
            </w:r>
          </w:p>
        </w:tc>
      </w:tr>
      <w:tr w:rsidR="009A71BD" w14:paraId="12EB48F1" w14:textId="77777777" w:rsidTr="2D652033">
        <w:trPr>
          <w:trHeight w:val="570"/>
        </w:trPr>
        <w:tc>
          <w:tcPr>
            <w:tcW w:w="3964" w:type="dxa"/>
            <w:vAlign w:val="center"/>
          </w:tcPr>
          <w:p w14:paraId="5AFC922B" w14:textId="4854AF93" w:rsidR="009A71BD" w:rsidRPr="004F77F6" w:rsidRDefault="009A71BD" w:rsidP="009A71BD">
            <w:pPr>
              <w:rPr>
                <w:rFonts w:ascii="Arial" w:hAnsi="Arial" w:cs="Arial"/>
                <w:szCs w:val="24"/>
              </w:rPr>
            </w:pPr>
            <w:r w:rsidRPr="007501B8">
              <w:rPr>
                <w:rFonts w:ascii="Arial" w:hAnsi="Arial" w:cs="Arial"/>
                <w:b/>
                <w:szCs w:val="24"/>
              </w:rPr>
              <w:t>Deliver targeted public realm</w:t>
            </w:r>
            <w:r>
              <w:rPr>
                <w:rFonts w:ascii="Arial" w:hAnsi="Arial" w:cs="Arial"/>
                <w:szCs w:val="24"/>
              </w:rPr>
              <w:t xml:space="preserve"> </w:t>
            </w:r>
            <w:r w:rsidRPr="007501B8">
              <w:rPr>
                <w:rFonts w:ascii="Arial" w:hAnsi="Arial" w:cs="Arial"/>
                <w:b/>
                <w:szCs w:val="24"/>
              </w:rPr>
              <w:t>schemes in our towns</w:t>
            </w:r>
            <w:r w:rsidRPr="004F77F6">
              <w:rPr>
                <w:rFonts w:ascii="Arial" w:hAnsi="Arial" w:cs="Arial"/>
                <w:szCs w:val="24"/>
              </w:rPr>
              <w:t xml:space="preserve"> including:</w:t>
            </w:r>
          </w:p>
          <w:p w14:paraId="04FD01E4" w14:textId="6E25A063" w:rsidR="009A71BD" w:rsidRPr="001D4F6B" w:rsidRDefault="009A71BD" w:rsidP="009A71BD">
            <w:pPr>
              <w:pStyle w:val="ListParagraph"/>
              <w:numPr>
                <w:ilvl w:val="0"/>
                <w:numId w:val="1"/>
              </w:numPr>
              <w:spacing w:before="80"/>
              <w:ind w:left="317" w:hanging="284"/>
              <w:rPr>
                <w:rFonts w:ascii="Arial" w:hAnsi="Arial" w:cs="Arial"/>
                <w:szCs w:val="24"/>
              </w:rPr>
            </w:pPr>
            <w:r w:rsidRPr="00E072DF">
              <w:rPr>
                <w:rFonts w:ascii="Arial" w:hAnsi="Arial" w:cs="Arial"/>
                <w:szCs w:val="24"/>
              </w:rPr>
              <w:t xml:space="preserve">Work with the county council to consider temporary physical changes to road and pavement layouts to support our town centre </w:t>
            </w:r>
            <w:r w:rsidRPr="00E072DF">
              <w:rPr>
                <w:rFonts w:ascii="Arial" w:hAnsi="Arial" w:cs="Arial"/>
                <w:szCs w:val="24"/>
              </w:rPr>
              <w:lastRenderedPageBreak/>
              <w:t>businesses with ongoing social distancing measures</w:t>
            </w:r>
          </w:p>
        </w:tc>
        <w:tc>
          <w:tcPr>
            <w:tcW w:w="1559" w:type="dxa"/>
            <w:vAlign w:val="center"/>
          </w:tcPr>
          <w:p w14:paraId="0819D5FB" w14:textId="6B734466" w:rsidR="009A71BD" w:rsidRDefault="009A71BD" w:rsidP="009A71BD">
            <w:pPr>
              <w:rPr>
                <w:rFonts w:ascii="Arial" w:hAnsi="Arial" w:cs="Arial"/>
                <w:szCs w:val="24"/>
              </w:rPr>
            </w:pPr>
          </w:p>
          <w:p w14:paraId="4C60C2E1" w14:textId="77777777" w:rsidR="009A71BD" w:rsidRDefault="009A71BD" w:rsidP="009A71BD">
            <w:pPr>
              <w:rPr>
                <w:rFonts w:ascii="Arial" w:hAnsi="Arial" w:cs="Arial"/>
                <w:szCs w:val="24"/>
              </w:rPr>
            </w:pPr>
            <w:r>
              <w:rPr>
                <w:rFonts w:ascii="Arial" w:hAnsi="Arial" w:cs="Arial"/>
                <w:szCs w:val="24"/>
              </w:rPr>
              <w:t>from June 2020</w:t>
            </w:r>
          </w:p>
          <w:p w14:paraId="793E4737" w14:textId="4029630F" w:rsidR="009A71BD" w:rsidRDefault="009A71BD" w:rsidP="009A71BD">
            <w:pPr>
              <w:rPr>
                <w:rFonts w:ascii="Arial" w:hAnsi="Arial" w:cs="Arial"/>
              </w:rPr>
            </w:pPr>
          </w:p>
        </w:tc>
        <w:tc>
          <w:tcPr>
            <w:tcW w:w="1701" w:type="dxa"/>
            <w:vAlign w:val="center"/>
          </w:tcPr>
          <w:p w14:paraId="653EFC71" w14:textId="3C3FA0AB" w:rsidR="009A71BD" w:rsidRPr="00E072DF" w:rsidRDefault="009A71BD" w:rsidP="009A71BD">
            <w:pPr>
              <w:rPr>
                <w:rFonts w:ascii="Arial" w:hAnsi="Arial" w:cs="Arial"/>
                <w:szCs w:val="24"/>
              </w:rPr>
            </w:pPr>
            <w:r>
              <w:rPr>
                <w:rFonts w:ascii="Arial" w:hAnsi="Arial" w:cs="Arial"/>
                <w:szCs w:val="24"/>
              </w:rPr>
              <w:t xml:space="preserve">Programme Director (Workington) </w:t>
            </w:r>
          </w:p>
        </w:tc>
        <w:tc>
          <w:tcPr>
            <w:tcW w:w="923" w:type="dxa"/>
            <w:tcBorders>
              <w:top w:val="single" w:sz="4" w:space="0" w:color="auto"/>
              <w:left w:val="single" w:sz="4" w:space="0" w:color="auto"/>
              <w:bottom w:val="single" w:sz="4" w:space="0" w:color="auto"/>
              <w:right w:val="single" w:sz="4" w:space="0" w:color="auto"/>
            </w:tcBorders>
            <w:shd w:val="clear" w:color="auto" w:fill="92D050"/>
            <w:vAlign w:val="center"/>
          </w:tcPr>
          <w:p w14:paraId="3C6777CF" w14:textId="16D75BF3" w:rsidR="009A71BD" w:rsidRDefault="009A71BD" w:rsidP="009A71BD">
            <w:pPr>
              <w:jc w:val="center"/>
              <w:rPr>
                <w:rFonts w:ascii="Arial" w:hAnsi="Arial" w:cs="Arial"/>
              </w:rPr>
            </w:pPr>
            <w:r>
              <w:rPr>
                <w:rFonts w:ascii="Arial" w:hAnsi="Arial" w:cs="Arial"/>
              </w:rPr>
              <w:t>G</w:t>
            </w:r>
          </w:p>
        </w:tc>
        <w:tc>
          <w:tcPr>
            <w:tcW w:w="920" w:type="dxa"/>
            <w:tcBorders>
              <w:top w:val="single" w:sz="4" w:space="0" w:color="auto"/>
              <w:left w:val="single" w:sz="4" w:space="0" w:color="auto"/>
              <w:bottom w:val="single" w:sz="4" w:space="0" w:color="auto"/>
              <w:right w:val="single" w:sz="4" w:space="0" w:color="auto"/>
            </w:tcBorders>
            <w:shd w:val="clear" w:color="auto" w:fill="92D050"/>
            <w:vAlign w:val="center"/>
          </w:tcPr>
          <w:p w14:paraId="2D0C85A9" w14:textId="2B7D7610" w:rsidR="009A71BD" w:rsidRDefault="009A71BD" w:rsidP="009A71BD">
            <w:pPr>
              <w:jc w:val="center"/>
              <w:rPr>
                <w:rFonts w:ascii="Arial" w:hAnsi="Arial" w:cs="Arial"/>
              </w:rPr>
            </w:pPr>
            <w:r>
              <w:rPr>
                <w:rFonts w:ascii="Arial" w:hAnsi="Arial" w:cs="Arial"/>
              </w:rPr>
              <w:t>G</w:t>
            </w:r>
          </w:p>
        </w:tc>
        <w:tc>
          <w:tcPr>
            <w:tcW w:w="6237" w:type="dxa"/>
            <w:tcBorders>
              <w:top w:val="single" w:sz="4" w:space="0" w:color="auto"/>
              <w:left w:val="nil"/>
              <w:bottom w:val="single" w:sz="4" w:space="0" w:color="auto"/>
              <w:right w:val="single" w:sz="4" w:space="0" w:color="auto"/>
            </w:tcBorders>
            <w:shd w:val="clear" w:color="auto" w:fill="auto"/>
            <w:vAlign w:val="center"/>
          </w:tcPr>
          <w:p w14:paraId="686C043B" w14:textId="4931FB8A" w:rsidR="009A71BD" w:rsidRDefault="009A71BD" w:rsidP="009A71BD">
            <w:pPr>
              <w:rPr>
                <w:rFonts w:ascii="Arial" w:hAnsi="Arial" w:cs="Arial"/>
              </w:rPr>
            </w:pPr>
            <w:r w:rsidRPr="2D652033">
              <w:rPr>
                <w:rFonts w:ascii="Arial" w:hAnsi="Arial" w:cs="Arial"/>
                <w:color w:val="000000" w:themeColor="text1"/>
              </w:rPr>
              <w:t xml:space="preserve">A voluntary </w:t>
            </w:r>
            <w:r w:rsidR="55CB2247" w:rsidRPr="2D652033">
              <w:rPr>
                <w:rFonts w:ascii="Arial" w:hAnsi="Arial" w:cs="Arial"/>
                <w:color w:val="000000" w:themeColor="text1"/>
              </w:rPr>
              <w:t>one-way</w:t>
            </w:r>
            <w:r w:rsidRPr="2D652033">
              <w:rPr>
                <w:rFonts w:ascii="Arial" w:hAnsi="Arial" w:cs="Arial"/>
                <w:color w:val="000000" w:themeColor="text1"/>
              </w:rPr>
              <w:t xml:space="preserve"> pedestrian system was introduced in Market Place, Keswick to aid social distancing. On outdoor market days, Thursday and Saturdays, </w:t>
            </w:r>
            <w:r w:rsidR="582917F6" w:rsidRPr="2D652033">
              <w:rPr>
                <w:rFonts w:ascii="Arial" w:hAnsi="Arial" w:cs="Arial"/>
                <w:color w:val="000000" w:themeColor="text1"/>
              </w:rPr>
              <w:t>marshals</w:t>
            </w:r>
            <w:r w:rsidRPr="2D652033">
              <w:rPr>
                <w:rFonts w:ascii="Arial" w:hAnsi="Arial" w:cs="Arial"/>
                <w:color w:val="000000" w:themeColor="text1"/>
              </w:rPr>
              <w:t xml:space="preserve"> have been used to encourage members of the public to follow the voluntary system. This has been well received</w:t>
            </w:r>
            <w:r w:rsidR="778B03E3" w:rsidRPr="2D652033">
              <w:rPr>
                <w:rFonts w:ascii="Arial" w:hAnsi="Arial" w:cs="Arial"/>
                <w:color w:val="000000" w:themeColor="text1"/>
              </w:rPr>
              <w:t>,</w:t>
            </w:r>
            <w:r w:rsidRPr="2D652033">
              <w:rPr>
                <w:rFonts w:ascii="Arial" w:hAnsi="Arial" w:cs="Arial"/>
                <w:color w:val="000000" w:themeColor="text1"/>
              </w:rPr>
              <w:t xml:space="preserve"> with </w:t>
            </w:r>
            <w:r w:rsidR="1EC437B5" w:rsidRPr="2D652033">
              <w:rPr>
                <w:rFonts w:ascii="Arial" w:hAnsi="Arial" w:cs="Arial"/>
                <w:color w:val="000000" w:themeColor="text1"/>
              </w:rPr>
              <w:t>most</w:t>
            </w:r>
            <w:r w:rsidRPr="2D652033">
              <w:rPr>
                <w:rFonts w:ascii="Arial" w:hAnsi="Arial" w:cs="Arial"/>
                <w:color w:val="000000" w:themeColor="text1"/>
              </w:rPr>
              <w:t xml:space="preserve"> people complying.</w:t>
            </w:r>
          </w:p>
        </w:tc>
      </w:tr>
      <w:tr w:rsidR="009A71BD" w14:paraId="577C504B" w14:textId="77777777" w:rsidTr="2D652033">
        <w:trPr>
          <w:trHeight w:val="570"/>
        </w:trPr>
        <w:tc>
          <w:tcPr>
            <w:tcW w:w="3964" w:type="dxa"/>
            <w:vAlign w:val="center"/>
          </w:tcPr>
          <w:p w14:paraId="2219D7A8" w14:textId="5157DD24" w:rsidR="009A71BD" w:rsidRPr="00E072DF" w:rsidRDefault="009A71BD" w:rsidP="009A71BD">
            <w:pPr>
              <w:pStyle w:val="ListParagraph"/>
              <w:numPr>
                <w:ilvl w:val="0"/>
                <w:numId w:val="1"/>
              </w:numPr>
              <w:ind w:left="317" w:hanging="284"/>
              <w:rPr>
                <w:rFonts w:ascii="Arial" w:hAnsi="Arial" w:cs="Arial"/>
                <w:b/>
                <w:szCs w:val="24"/>
              </w:rPr>
            </w:pPr>
            <w:r w:rsidRPr="00E072DF">
              <w:rPr>
                <w:rFonts w:ascii="Arial" w:hAnsi="Arial" w:cs="Arial"/>
                <w:szCs w:val="24"/>
              </w:rPr>
              <w:t>Progress the Central Way underpass improvement scheme</w:t>
            </w:r>
          </w:p>
        </w:tc>
        <w:tc>
          <w:tcPr>
            <w:tcW w:w="1559" w:type="dxa"/>
            <w:vAlign w:val="center"/>
          </w:tcPr>
          <w:p w14:paraId="54730EB0" w14:textId="40C88F02" w:rsidR="009A71BD" w:rsidRDefault="009A71BD" w:rsidP="009A71BD">
            <w:pPr>
              <w:rPr>
                <w:rFonts w:ascii="Arial" w:hAnsi="Arial" w:cs="Arial"/>
                <w:szCs w:val="24"/>
              </w:rPr>
            </w:pPr>
            <w:r>
              <w:rPr>
                <w:rFonts w:ascii="Arial" w:hAnsi="Arial" w:cs="Arial"/>
                <w:szCs w:val="24"/>
              </w:rPr>
              <w:t>Phase 1 by March 2021</w:t>
            </w:r>
          </w:p>
        </w:tc>
        <w:tc>
          <w:tcPr>
            <w:tcW w:w="1701" w:type="dxa"/>
            <w:vAlign w:val="center"/>
          </w:tcPr>
          <w:p w14:paraId="5D075ACA" w14:textId="3AA6B0DA" w:rsidR="009A71BD" w:rsidRDefault="009A71BD" w:rsidP="009A71BD">
            <w:pPr>
              <w:rPr>
                <w:rFonts w:ascii="Arial" w:hAnsi="Arial" w:cs="Arial"/>
                <w:szCs w:val="24"/>
              </w:rPr>
            </w:pPr>
            <w:r>
              <w:rPr>
                <w:rFonts w:ascii="Arial" w:hAnsi="Arial" w:cs="Arial"/>
                <w:szCs w:val="24"/>
              </w:rPr>
              <w:t>Finance and Property</w:t>
            </w:r>
          </w:p>
        </w:tc>
        <w:tc>
          <w:tcPr>
            <w:tcW w:w="92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E32E3F3" w14:textId="536083F8" w:rsidR="009A71BD" w:rsidRDefault="009A71BD" w:rsidP="009A71BD">
            <w:pPr>
              <w:jc w:val="center"/>
              <w:rPr>
                <w:rFonts w:ascii="Arial" w:hAnsi="Arial" w:cs="Arial"/>
              </w:rPr>
            </w:pPr>
            <w:r>
              <w:rPr>
                <w:rFonts w:ascii="Arial" w:hAnsi="Arial" w:cs="Arial"/>
              </w:rPr>
              <w:t>A</w:t>
            </w:r>
          </w:p>
        </w:tc>
        <w:tc>
          <w:tcPr>
            <w:tcW w:w="92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5B98ED89" w14:textId="56EBBE4C" w:rsidR="009A71BD" w:rsidRDefault="009A71BD" w:rsidP="009A71BD">
            <w:pPr>
              <w:jc w:val="center"/>
              <w:rPr>
                <w:rFonts w:ascii="Arial" w:hAnsi="Arial" w:cs="Arial"/>
              </w:rPr>
            </w:pPr>
            <w:r>
              <w:rPr>
                <w:rFonts w:ascii="Arial" w:hAnsi="Arial" w:cs="Arial"/>
              </w:rPr>
              <w:t>A</w:t>
            </w:r>
          </w:p>
        </w:tc>
        <w:tc>
          <w:tcPr>
            <w:tcW w:w="6237" w:type="dxa"/>
            <w:tcBorders>
              <w:top w:val="nil"/>
              <w:left w:val="nil"/>
              <w:bottom w:val="single" w:sz="4" w:space="0" w:color="auto"/>
              <w:right w:val="single" w:sz="4" w:space="0" w:color="auto"/>
            </w:tcBorders>
            <w:shd w:val="clear" w:color="auto" w:fill="auto"/>
            <w:vAlign w:val="center"/>
          </w:tcPr>
          <w:p w14:paraId="015FE90D" w14:textId="0DE8F341" w:rsidR="009A71BD" w:rsidRDefault="009A71BD" w:rsidP="00240E6F">
            <w:pPr>
              <w:rPr>
                <w:rFonts w:ascii="Arial" w:hAnsi="Arial" w:cs="Arial"/>
              </w:rPr>
            </w:pPr>
            <w:r>
              <w:rPr>
                <w:rFonts w:ascii="Arial" w:hAnsi="Arial" w:cs="Arial"/>
                <w:color w:val="000000"/>
              </w:rPr>
              <w:t xml:space="preserve">Outstanding </w:t>
            </w:r>
            <w:r w:rsidR="007B4087">
              <w:rPr>
                <w:rFonts w:ascii="Arial" w:hAnsi="Arial" w:cs="Arial"/>
                <w:color w:val="000000"/>
              </w:rPr>
              <w:t>technical</w:t>
            </w:r>
            <w:r>
              <w:rPr>
                <w:rFonts w:ascii="Arial" w:hAnsi="Arial" w:cs="Arial"/>
                <w:color w:val="000000"/>
              </w:rPr>
              <w:t xml:space="preserve"> aspects of the scheme have now been agreed with CCC. Tender documents are being prepared with target date for issue of 26 October. Specification for solution to Un</w:t>
            </w:r>
            <w:r w:rsidR="00240E6F">
              <w:rPr>
                <w:rFonts w:ascii="Arial" w:hAnsi="Arial" w:cs="Arial"/>
                <w:color w:val="000000"/>
              </w:rPr>
              <w:t xml:space="preserve">derpass walls (erection of 4 </w:t>
            </w:r>
            <w:bookmarkStart w:id="0" w:name="_GoBack"/>
            <w:bookmarkEnd w:id="0"/>
            <w:r>
              <w:rPr>
                <w:rFonts w:ascii="Arial" w:hAnsi="Arial" w:cs="Arial"/>
                <w:color w:val="000000"/>
              </w:rPr>
              <w:t>freestanding steel-framed structures in front of the non-bridge sections) to accommodate lighting and artwork means that planning permission is required for this element of the scheme. Detailed drawings to be prepared asap and application submitted.</w:t>
            </w:r>
          </w:p>
        </w:tc>
      </w:tr>
      <w:tr w:rsidR="009A71BD" w14:paraId="6135EF48" w14:textId="77777777" w:rsidTr="2D652033">
        <w:trPr>
          <w:trHeight w:val="951"/>
        </w:trPr>
        <w:tc>
          <w:tcPr>
            <w:tcW w:w="3964" w:type="dxa"/>
            <w:vAlign w:val="center"/>
          </w:tcPr>
          <w:p w14:paraId="27234E50" w14:textId="13E81AFA" w:rsidR="009A71BD" w:rsidRPr="00E24403" w:rsidRDefault="009A71BD" w:rsidP="009A71BD">
            <w:pPr>
              <w:rPr>
                <w:rFonts w:ascii="Arial" w:eastAsia="Times New Roman" w:hAnsi="Arial" w:cs="Arial"/>
                <w:color w:val="000000"/>
                <w:lang w:eastAsia="en-GB"/>
              </w:rPr>
            </w:pPr>
            <w:r w:rsidRPr="0046545C">
              <w:rPr>
                <w:rFonts w:ascii="Arial" w:hAnsi="Arial" w:cs="Arial"/>
                <w:b/>
                <w:szCs w:val="24"/>
              </w:rPr>
              <w:t>Ensure our regulatory services work to assist businesses as much as possible</w:t>
            </w:r>
            <w:r w:rsidRPr="0046545C">
              <w:rPr>
                <w:rFonts w:ascii="Arial" w:hAnsi="Arial" w:cs="Arial"/>
                <w:szCs w:val="24"/>
              </w:rPr>
              <w:t xml:space="preserve">, such as efficient planning, building control, licensing and environmental health processes, implementing improvements to the provision of services to help businesses </w:t>
            </w:r>
          </w:p>
        </w:tc>
        <w:tc>
          <w:tcPr>
            <w:tcW w:w="1559" w:type="dxa"/>
            <w:vAlign w:val="center"/>
          </w:tcPr>
          <w:p w14:paraId="1080172D" w14:textId="6B631DAB" w:rsidR="009A71BD" w:rsidRDefault="009A71BD" w:rsidP="009A71BD">
            <w:pPr>
              <w:rPr>
                <w:rFonts w:ascii="Arial" w:hAnsi="Arial" w:cs="Arial"/>
              </w:rPr>
            </w:pPr>
            <w:r w:rsidRPr="0046545C">
              <w:rPr>
                <w:rFonts w:ascii="Arial" w:hAnsi="Arial" w:cs="Arial"/>
                <w:szCs w:val="24"/>
              </w:rPr>
              <w:t>from March 2020</w:t>
            </w:r>
          </w:p>
        </w:tc>
        <w:tc>
          <w:tcPr>
            <w:tcW w:w="1701" w:type="dxa"/>
            <w:vAlign w:val="center"/>
          </w:tcPr>
          <w:p w14:paraId="1D05D119" w14:textId="54761744" w:rsidR="009A71BD" w:rsidRDefault="009A71BD" w:rsidP="009A71BD">
            <w:pPr>
              <w:rPr>
                <w:rFonts w:ascii="Arial" w:hAnsi="Arial" w:cs="Arial"/>
              </w:rPr>
            </w:pPr>
            <w:r w:rsidRPr="0046545C">
              <w:rPr>
                <w:rFonts w:ascii="Arial" w:hAnsi="Arial" w:cs="Arial"/>
                <w:szCs w:val="24"/>
              </w:rPr>
              <w:t>Governance and Regulatory Services</w:t>
            </w:r>
          </w:p>
        </w:tc>
        <w:tc>
          <w:tcPr>
            <w:tcW w:w="923"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033364F5" w14:textId="3D22349D" w:rsidR="009A71BD" w:rsidRDefault="009A71BD" w:rsidP="009A71BD">
            <w:pPr>
              <w:jc w:val="center"/>
              <w:rPr>
                <w:rFonts w:ascii="Arial" w:hAnsi="Arial" w:cs="Arial"/>
              </w:rPr>
            </w:pPr>
            <w:r>
              <w:rPr>
                <w:rFonts w:ascii="Arial" w:hAnsi="Arial" w:cs="Arial"/>
              </w:rPr>
              <w:t>A</w:t>
            </w:r>
          </w:p>
        </w:tc>
        <w:tc>
          <w:tcPr>
            <w:tcW w:w="920"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4B7B99D8" w14:textId="1585A2DE" w:rsidR="009A71BD" w:rsidRDefault="009A71BD" w:rsidP="009A71BD">
            <w:pPr>
              <w:jc w:val="center"/>
              <w:rPr>
                <w:rFonts w:ascii="Arial" w:hAnsi="Arial" w:cs="Arial"/>
              </w:rPr>
            </w:pPr>
            <w:r>
              <w:rPr>
                <w:rFonts w:ascii="Arial" w:hAnsi="Arial" w:cs="Arial"/>
                <w:color w:val="000000"/>
              </w:rPr>
              <w:t>A</w:t>
            </w:r>
          </w:p>
        </w:tc>
        <w:tc>
          <w:tcPr>
            <w:tcW w:w="6237" w:type="dxa"/>
            <w:tcBorders>
              <w:top w:val="nil"/>
              <w:left w:val="nil"/>
              <w:bottom w:val="single" w:sz="4" w:space="0" w:color="auto"/>
              <w:right w:val="single" w:sz="4" w:space="0" w:color="auto"/>
            </w:tcBorders>
            <w:shd w:val="clear" w:color="auto" w:fill="auto"/>
            <w:vAlign w:val="center"/>
          </w:tcPr>
          <w:p w14:paraId="65B4B94F" w14:textId="3A67D82A" w:rsidR="009A71BD" w:rsidRDefault="00FD5FB2" w:rsidP="00FD5FB2">
            <w:pPr>
              <w:spacing w:after="80"/>
              <w:rPr>
                <w:rFonts w:ascii="Arial" w:hAnsi="Arial" w:cs="Arial"/>
              </w:rPr>
            </w:pPr>
            <w:r w:rsidRPr="00FD5FB2">
              <w:rPr>
                <w:rFonts w:ascii="Arial" w:hAnsi="Arial" w:cs="Arial"/>
                <w:color w:val="000000"/>
              </w:rPr>
              <w:t>Arcus delay is still an impediment to efficient planning process, however, the Go Live date is on track for November. Building Control completed an internal audit under the LABC QMS ISO9001 and the external audit is complete and we have been awarded the accreditation.</w:t>
            </w:r>
            <w:r>
              <w:rPr>
                <w:rFonts w:ascii="Arial" w:hAnsi="Arial" w:cs="Arial"/>
                <w:color w:val="000000"/>
              </w:rPr>
              <w:t xml:space="preserve">  </w:t>
            </w:r>
            <w:r w:rsidRPr="00FD5FB2">
              <w:rPr>
                <w:rFonts w:ascii="Arial" w:hAnsi="Arial" w:cs="Arial"/>
                <w:color w:val="000000"/>
              </w:rPr>
              <w:t>Environmental Health and Licensing have been offering support and guidance to businesses through the changes in legislation required due the pandemic.</w:t>
            </w:r>
          </w:p>
        </w:tc>
      </w:tr>
      <w:tr w:rsidR="009A71BD" w14:paraId="3235A254" w14:textId="77777777" w:rsidTr="2D652033">
        <w:trPr>
          <w:trHeight w:val="854"/>
        </w:trPr>
        <w:tc>
          <w:tcPr>
            <w:tcW w:w="3964" w:type="dxa"/>
            <w:vAlign w:val="center"/>
          </w:tcPr>
          <w:p w14:paraId="2ACBAC65" w14:textId="741BFDB8" w:rsidR="009A71BD" w:rsidRPr="00E24403" w:rsidRDefault="009A71BD" w:rsidP="009A71BD">
            <w:pPr>
              <w:rPr>
                <w:rFonts w:ascii="Arial" w:eastAsia="Times New Roman" w:hAnsi="Arial" w:cs="Arial"/>
                <w:color w:val="000000"/>
                <w:lang w:eastAsia="en-GB"/>
              </w:rPr>
            </w:pPr>
            <w:r w:rsidRPr="0046545C">
              <w:rPr>
                <w:rFonts w:ascii="Arial" w:hAnsi="Arial" w:cs="Arial"/>
                <w:b/>
              </w:rPr>
              <w:t>Undertake work to understand and address impacts of the pandemic on the housing market</w:t>
            </w:r>
            <w:r w:rsidRPr="0046545C">
              <w:rPr>
                <w:rFonts w:ascii="Arial" w:hAnsi="Arial" w:cs="Arial"/>
              </w:rPr>
              <w:t xml:space="preserve"> over short, medium and longer term </w:t>
            </w:r>
          </w:p>
        </w:tc>
        <w:tc>
          <w:tcPr>
            <w:tcW w:w="1559" w:type="dxa"/>
            <w:vAlign w:val="center"/>
          </w:tcPr>
          <w:p w14:paraId="62A1742F" w14:textId="06C65623" w:rsidR="009A71BD" w:rsidRDefault="009A71BD" w:rsidP="009A71BD">
            <w:pPr>
              <w:rPr>
                <w:rFonts w:ascii="Arial" w:hAnsi="Arial" w:cs="Arial"/>
              </w:rPr>
            </w:pPr>
            <w:r w:rsidRPr="0046545C">
              <w:rPr>
                <w:rFonts w:ascii="Arial" w:hAnsi="Arial" w:cs="Arial"/>
              </w:rPr>
              <w:t>from June 2020</w:t>
            </w:r>
          </w:p>
        </w:tc>
        <w:tc>
          <w:tcPr>
            <w:tcW w:w="1701" w:type="dxa"/>
            <w:vAlign w:val="center"/>
          </w:tcPr>
          <w:p w14:paraId="66F31294" w14:textId="01E33524" w:rsidR="009A71BD" w:rsidRDefault="009A71BD" w:rsidP="009A71BD">
            <w:pPr>
              <w:rPr>
                <w:rFonts w:ascii="Arial" w:hAnsi="Arial" w:cs="Arial"/>
              </w:rPr>
            </w:pPr>
            <w:r w:rsidRPr="0046545C">
              <w:rPr>
                <w:rFonts w:ascii="Arial" w:hAnsi="Arial" w:cs="Arial"/>
              </w:rPr>
              <w:t>Strategy, Policy and Performance</w:t>
            </w:r>
          </w:p>
        </w:tc>
        <w:tc>
          <w:tcPr>
            <w:tcW w:w="923" w:type="dxa"/>
            <w:tcBorders>
              <w:top w:val="single" w:sz="4" w:space="0" w:color="auto"/>
              <w:left w:val="single" w:sz="4" w:space="0" w:color="auto"/>
              <w:bottom w:val="single" w:sz="4" w:space="0" w:color="auto"/>
              <w:right w:val="single" w:sz="4" w:space="0" w:color="auto"/>
            </w:tcBorders>
            <w:shd w:val="clear" w:color="auto" w:fill="92D050"/>
            <w:vAlign w:val="center"/>
          </w:tcPr>
          <w:p w14:paraId="161C9A00" w14:textId="2BF71F15" w:rsidR="009A71BD" w:rsidRDefault="009A71BD" w:rsidP="009A71BD">
            <w:pPr>
              <w:jc w:val="center"/>
              <w:rPr>
                <w:rFonts w:ascii="Arial" w:hAnsi="Arial" w:cs="Arial"/>
              </w:rPr>
            </w:pPr>
            <w:r>
              <w:rPr>
                <w:rFonts w:ascii="Arial" w:hAnsi="Arial" w:cs="Arial"/>
              </w:rPr>
              <w:t>G</w:t>
            </w:r>
          </w:p>
        </w:tc>
        <w:tc>
          <w:tcPr>
            <w:tcW w:w="920" w:type="dxa"/>
            <w:tcBorders>
              <w:top w:val="single" w:sz="4" w:space="0" w:color="auto"/>
              <w:left w:val="single" w:sz="4" w:space="0" w:color="auto"/>
              <w:bottom w:val="single" w:sz="4" w:space="0" w:color="auto"/>
              <w:right w:val="single" w:sz="4" w:space="0" w:color="auto"/>
            </w:tcBorders>
            <w:shd w:val="clear" w:color="auto" w:fill="92D050"/>
            <w:vAlign w:val="center"/>
          </w:tcPr>
          <w:p w14:paraId="0C0C3972" w14:textId="0552BA8C" w:rsidR="009A71BD" w:rsidRDefault="009A71BD" w:rsidP="009A71BD">
            <w:pPr>
              <w:jc w:val="center"/>
              <w:rPr>
                <w:rFonts w:ascii="Arial" w:hAnsi="Arial" w:cs="Arial"/>
              </w:rPr>
            </w:pPr>
            <w:r>
              <w:rPr>
                <w:rFonts w:ascii="Arial" w:hAnsi="Arial" w:cs="Arial"/>
              </w:rPr>
              <w:t>G</w:t>
            </w:r>
          </w:p>
        </w:tc>
        <w:tc>
          <w:tcPr>
            <w:tcW w:w="6237" w:type="dxa"/>
            <w:tcBorders>
              <w:top w:val="nil"/>
              <w:left w:val="nil"/>
              <w:bottom w:val="single" w:sz="4" w:space="0" w:color="auto"/>
              <w:right w:val="single" w:sz="4" w:space="0" w:color="auto"/>
            </w:tcBorders>
            <w:shd w:val="clear" w:color="auto" w:fill="auto"/>
            <w:vAlign w:val="center"/>
          </w:tcPr>
          <w:p w14:paraId="624CAA7F" w14:textId="22A9C5C7" w:rsidR="009A71BD" w:rsidRDefault="009A71BD" w:rsidP="0017434E">
            <w:pPr>
              <w:rPr>
                <w:rFonts w:ascii="Arial" w:hAnsi="Arial" w:cs="Arial"/>
              </w:rPr>
            </w:pPr>
            <w:r w:rsidRPr="2D652033">
              <w:rPr>
                <w:rFonts w:ascii="Arial" w:hAnsi="Arial" w:cs="Arial"/>
                <w:color w:val="000000" w:themeColor="text1"/>
              </w:rPr>
              <w:t xml:space="preserve">The </w:t>
            </w:r>
            <w:r w:rsidR="582917F6" w:rsidRPr="2D652033">
              <w:rPr>
                <w:rFonts w:ascii="Arial" w:hAnsi="Arial" w:cs="Arial"/>
                <w:color w:val="000000" w:themeColor="text1"/>
              </w:rPr>
              <w:t>feedback</w:t>
            </w:r>
            <w:r w:rsidRPr="2D652033">
              <w:rPr>
                <w:rFonts w:ascii="Arial" w:hAnsi="Arial" w:cs="Arial"/>
                <w:color w:val="000000" w:themeColor="text1"/>
              </w:rPr>
              <w:t xml:space="preserve"> from R</w:t>
            </w:r>
            <w:r w:rsidR="0017434E">
              <w:rPr>
                <w:rFonts w:ascii="Arial" w:hAnsi="Arial" w:cs="Arial"/>
                <w:color w:val="000000" w:themeColor="text1"/>
              </w:rPr>
              <w:t>egistered Providers</w:t>
            </w:r>
            <w:r w:rsidRPr="2D652033">
              <w:rPr>
                <w:rFonts w:ascii="Arial" w:hAnsi="Arial" w:cs="Arial"/>
                <w:color w:val="000000" w:themeColor="text1"/>
              </w:rPr>
              <w:t xml:space="preserve"> is that the</w:t>
            </w:r>
            <w:r w:rsidR="582917F6" w:rsidRPr="2D652033">
              <w:rPr>
                <w:rFonts w:ascii="Arial" w:hAnsi="Arial" w:cs="Arial"/>
                <w:color w:val="000000" w:themeColor="text1"/>
              </w:rPr>
              <w:t xml:space="preserve"> level of rent arrears in Aller</w:t>
            </w:r>
            <w:r w:rsidRPr="2D652033">
              <w:rPr>
                <w:rFonts w:ascii="Arial" w:hAnsi="Arial" w:cs="Arial"/>
                <w:color w:val="000000" w:themeColor="text1"/>
              </w:rPr>
              <w:t xml:space="preserve">dale area have not risen significantly and that their officers during the pandemic teams have worked tireless with tenants, offering support in money management, and working to prevent or mitigate against tenants from falling into debt. As a result of government </w:t>
            </w:r>
            <w:r w:rsidR="4BC693FB" w:rsidRPr="2D652033">
              <w:rPr>
                <w:rFonts w:ascii="Arial" w:hAnsi="Arial" w:cs="Arial"/>
                <w:color w:val="000000" w:themeColor="text1"/>
              </w:rPr>
              <w:t>policy,</w:t>
            </w:r>
            <w:r w:rsidRPr="2D652033">
              <w:rPr>
                <w:rFonts w:ascii="Arial" w:hAnsi="Arial" w:cs="Arial"/>
                <w:color w:val="000000" w:themeColor="text1"/>
              </w:rPr>
              <w:t xml:space="preserve"> no evictions have taken place.  Some RPs are working with the National Housing Federation which has launched a commitment to respond well to the Covid-19 crisis on behalf of its members:  1. Keeping people secure at home 2.Helping people to get the support they need 3.Acting compassionately and quickly where people are struggling.  </w:t>
            </w:r>
            <w:r w:rsidR="0017434E">
              <w:rPr>
                <w:rFonts w:ascii="Arial" w:hAnsi="Arial" w:cs="Arial"/>
                <w:color w:val="000000" w:themeColor="text1"/>
              </w:rPr>
              <w:t>O</w:t>
            </w:r>
            <w:r w:rsidRPr="2D652033">
              <w:rPr>
                <w:rFonts w:ascii="Arial" w:hAnsi="Arial" w:cs="Arial"/>
                <w:color w:val="000000" w:themeColor="text1"/>
              </w:rPr>
              <w:t>thers are discussing internally their tradition</w:t>
            </w:r>
            <w:r w:rsidR="0017434E">
              <w:rPr>
                <w:rFonts w:ascii="Arial" w:hAnsi="Arial" w:cs="Arial"/>
                <w:color w:val="000000" w:themeColor="text1"/>
              </w:rPr>
              <w:t>al</w:t>
            </w:r>
            <w:r w:rsidRPr="2D652033">
              <w:rPr>
                <w:rFonts w:ascii="Arial" w:hAnsi="Arial" w:cs="Arial"/>
                <w:color w:val="000000" w:themeColor="text1"/>
              </w:rPr>
              <w:t xml:space="preserve"> escalation to eviction process as they have </w:t>
            </w:r>
            <w:r w:rsidRPr="2D652033">
              <w:rPr>
                <w:rFonts w:ascii="Arial" w:hAnsi="Arial" w:cs="Arial"/>
                <w:color w:val="000000" w:themeColor="text1"/>
              </w:rPr>
              <w:lastRenderedPageBreak/>
              <w:t xml:space="preserve">managed to work with 34 cases during the pandemic to get payment plans in place which would otherwise </w:t>
            </w:r>
            <w:r w:rsidR="582917F6" w:rsidRPr="2D652033">
              <w:rPr>
                <w:rFonts w:ascii="Arial" w:hAnsi="Arial" w:cs="Arial"/>
                <w:color w:val="000000" w:themeColor="text1"/>
              </w:rPr>
              <w:t>have</w:t>
            </w:r>
            <w:r w:rsidRPr="2D652033">
              <w:rPr>
                <w:rFonts w:ascii="Arial" w:hAnsi="Arial" w:cs="Arial"/>
                <w:color w:val="000000" w:themeColor="text1"/>
              </w:rPr>
              <w:t xml:space="preserve"> proceeded to court action.   Local developers have advised that the housing market has been very buoyant in terms of sales following lockdown, and they intend to continue developing housing in the area.</w:t>
            </w:r>
          </w:p>
        </w:tc>
      </w:tr>
      <w:tr w:rsidR="009A71BD" w14:paraId="71B50141" w14:textId="77777777" w:rsidTr="2D652033">
        <w:trPr>
          <w:trHeight w:val="2104"/>
        </w:trPr>
        <w:tc>
          <w:tcPr>
            <w:tcW w:w="3964" w:type="dxa"/>
            <w:vAlign w:val="center"/>
          </w:tcPr>
          <w:p w14:paraId="295C63E3" w14:textId="7701B4B7" w:rsidR="009A71BD" w:rsidRPr="00E24403" w:rsidRDefault="009A71BD" w:rsidP="009A71BD">
            <w:pPr>
              <w:rPr>
                <w:rFonts w:ascii="Arial" w:eastAsia="Times New Roman" w:hAnsi="Arial" w:cs="Arial"/>
                <w:color w:val="000000"/>
                <w:lang w:eastAsia="en-GB"/>
              </w:rPr>
            </w:pPr>
            <w:r w:rsidRPr="0046545C">
              <w:rPr>
                <w:rFonts w:ascii="Arial" w:hAnsi="Arial" w:cs="Arial"/>
                <w:b/>
                <w:szCs w:val="24"/>
              </w:rPr>
              <w:lastRenderedPageBreak/>
              <w:t>Deliver disabled facilities grants</w:t>
            </w:r>
            <w:r w:rsidRPr="0046545C">
              <w:rPr>
                <w:rFonts w:ascii="Arial" w:hAnsi="Arial" w:cs="Arial"/>
                <w:szCs w:val="24"/>
              </w:rPr>
              <w:t xml:space="preserve"> and review the Housing Grants and Assistance Policy in light of the pandemic.</w:t>
            </w:r>
          </w:p>
        </w:tc>
        <w:tc>
          <w:tcPr>
            <w:tcW w:w="1559" w:type="dxa"/>
            <w:vAlign w:val="center"/>
          </w:tcPr>
          <w:p w14:paraId="5870C5A5" w14:textId="637FDD21" w:rsidR="009A71BD" w:rsidRDefault="009A71BD" w:rsidP="009A71BD">
            <w:pPr>
              <w:rPr>
                <w:rFonts w:ascii="Arial" w:hAnsi="Arial" w:cs="Arial"/>
              </w:rPr>
            </w:pPr>
            <w:r w:rsidRPr="0046545C">
              <w:rPr>
                <w:rFonts w:ascii="Arial" w:hAnsi="Arial" w:cs="Arial"/>
                <w:szCs w:val="24"/>
              </w:rPr>
              <w:t>from April 2020</w:t>
            </w:r>
          </w:p>
        </w:tc>
        <w:tc>
          <w:tcPr>
            <w:tcW w:w="1701" w:type="dxa"/>
            <w:vAlign w:val="center"/>
          </w:tcPr>
          <w:p w14:paraId="795B1E09" w14:textId="3B5338EF" w:rsidR="009A71BD" w:rsidRDefault="009A71BD" w:rsidP="009A71BD">
            <w:pPr>
              <w:rPr>
                <w:rFonts w:ascii="Arial" w:hAnsi="Arial" w:cs="Arial"/>
              </w:rPr>
            </w:pPr>
            <w:r w:rsidRPr="0046545C">
              <w:rPr>
                <w:rFonts w:ascii="Arial" w:hAnsi="Arial" w:cs="Arial"/>
                <w:szCs w:val="24"/>
              </w:rPr>
              <w:t>Governance and Regulatory Services</w:t>
            </w:r>
          </w:p>
        </w:tc>
        <w:tc>
          <w:tcPr>
            <w:tcW w:w="923" w:type="dxa"/>
            <w:tcBorders>
              <w:top w:val="single" w:sz="4" w:space="0" w:color="auto"/>
              <w:left w:val="single" w:sz="4" w:space="0" w:color="auto"/>
              <w:bottom w:val="single" w:sz="4" w:space="0" w:color="auto"/>
              <w:right w:val="single" w:sz="4" w:space="0" w:color="auto"/>
            </w:tcBorders>
            <w:shd w:val="clear" w:color="auto" w:fill="92D050"/>
            <w:vAlign w:val="center"/>
          </w:tcPr>
          <w:p w14:paraId="379C29F8" w14:textId="669727C1" w:rsidR="009A71BD" w:rsidRDefault="009A71BD" w:rsidP="009A71BD">
            <w:pPr>
              <w:jc w:val="center"/>
              <w:rPr>
                <w:rFonts w:ascii="Arial" w:hAnsi="Arial" w:cs="Arial"/>
              </w:rPr>
            </w:pPr>
            <w:r>
              <w:rPr>
                <w:rFonts w:ascii="Arial" w:hAnsi="Arial" w:cs="Arial"/>
              </w:rPr>
              <w:t>G</w:t>
            </w:r>
          </w:p>
        </w:tc>
        <w:tc>
          <w:tcPr>
            <w:tcW w:w="920" w:type="dxa"/>
            <w:tcBorders>
              <w:top w:val="single" w:sz="4" w:space="0" w:color="auto"/>
              <w:left w:val="single" w:sz="4" w:space="0" w:color="auto"/>
              <w:bottom w:val="single" w:sz="4" w:space="0" w:color="auto"/>
              <w:right w:val="single" w:sz="4" w:space="0" w:color="auto"/>
            </w:tcBorders>
            <w:shd w:val="clear" w:color="auto" w:fill="92D050"/>
            <w:vAlign w:val="center"/>
          </w:tcPr>
          <w:p w14:paraId="78D74B6E" w14:textId="70CAF5FF" w:rsidR="009A71BD" w:rsidRDefault="009A71BD" w:rsidP="009A71BD">
            <w:pPr>
              <w:jc w:val="center"/>
              <w:rPr>
                <w:rFonts w:ascii="Arial" w:hAnsi="Arial" w:cs="Arial"/>
              </w:rPr>
            </w:pPr>
            <w:r>
              <w:rPr>
                <w:rFonts w:ascii="Arial" w:hAnsi="Arial" w:cs="Arial"/>
              </w:rPr>
              <w:t>G</w:t>
            </w:r>
          </w:p>
        </w:tc>
        <w:tc>
          <w:tcPr>
            <w:tcW w:w="6237" w:type="dxa"/>
            <w:tcBorders>
              <w:top w:val="nil"/>
              <w:left w:val="nil"/>
              <w:bottom w:val="single" w:sz="4" w:space="0" w:color="auto"/>
              <w:right w:val="single" w:sz="4" w:space="0" w:color="auto"/>
            </w:tcBorders>
            <w:shd w:val="clear" w:color="auto" w:fill="auto"/>
            <w:vAlign w:val="center"/>
          </w:tcPr>
          <w:p w14:paraId="7D02DBBE" w14:textId="30075C0D" w:rsidR="009A71BD" w:rsidRDefault="009A71BD" w:rsidP="009A71BD">
            <w:pPr>
              <w:rPr>
                <w:rFonts w:ascii="Arial" w:hAnsi="Arial" w:cs="Arial"/>
              </w:rPr>
            </w:pPr>
            <w:r>
              <w:rPr>
                <w:rFonts w:ascii="Arial" w:hAnsi="Arial" w:cs="Arial"/>
                <w:color w:val="000000"/>
              </w:rPr>
              <w:t xml:space="preserve">The coronavirus pandemic has had an impact on the delivery of Disabled Facilities Grants however the team are starting to receive more referrals from Occupational Therapists. The team have adapted the way customers are supported without the need to visit their homes. New systems/processes have been introduced and appear to be working well. Most contractors now have teams in place to undertake works and regular virtual meetings are taking place. The review of the Housing Grants and Assistance Policy has not started mainly due to the Housing Manager leading on Track and Trace for Allerdale.   </w:t>
            </w:r>
          </w:p>
        </w:tc>
      </w:tr>
    </w:tbl>
    <w:p w14:paraId="52773437" w14:textId="77777777" w:rsidR="004909F0" w:rsidRDefault="004909F0" w:rsidP="004909F0">
      <w:pPr>
        <w:rPr>
          <w:rFonts w:ascii="Arial" w:hAnsi="Arial" w:cs="Arial"/>
          <w:bCs/>
          <w:sz w:val="24"/>
          <w:szCs w:val="24"/>
        </w:rPr>
      </w:pPr>
    </w:p>
    <w:tbl>
      <w:tblPr>
        <w:tblStyle w:val="TableGrid"/>
        <w:tblW w:w="15304" w:type="dxa"/>
        <w:tblLook w:val="04A0" w:firstRow="1" w:lastRow="0" w:firstColumn="1" w:lastColumn="0" w:noHBand="0" w:noVBand="1"/>
      </w:tblPr>
      <w:tblGrid>
        <w:gridCol w:w="4104"/>
        <w:gridCol w:w="1057"/>
        <w:gridCol w:w="963"/>
        <w:gridCol w:w="963"/>
        <w:gridCol w:w="956"/>
        <w:gridCol w:w="1058"/>
        <w:gridCol w:w="6203"/>
      </w:tblGrid>
      <w:tr w:rsidR="00E00CE4" w:rsidRPr="002E7893" w14:paraId="149E2568" w14:textId="77777777" w:rsidTr="00610C11">
        <w:trPr>
          <w:trHeight w:val="521"/>
        </w:trPr>
        <w:tc>
          <w:tcPr>
            <w:tcW w:w="4104" w:type="dxa"/>
            <w:shd w:val="clear" w:color="auto" w:fill="1B90B5"/>
            <w:vAlign w:val="center"/>
          </w:tcPr>
          <w:p w14:paraId="1335F533" w14:textId="77777777" w:rsidR="00E00CE4" w:rsidRPr="004909F0" w:rsidRDefault="00E00CE4" w:rsidP="004909F0">
            <w:pPr>
              <w:tabs>
                <w:tab w:val="left" w:pos="1134"/>
              </w:tabs>
              <w:rPr>
                <w:rFonts w:ascii="Arial" w:hAnsi="Arial" w:cs="Arial"/>
                <w:b/>
                <w:bCs/>
                <w:szCs w:val="24"/>
              </w:rPr>
            </w:pPr>
            <w:r w:rsidRPr="004909F0">
              <w:rPr>
                <w:rFonts w:ascii="Arial" w:hAnsi="Arial" w:cs="Arial"/>
                <w:b/>
                <w:bCs/>
                <w:color w:val="FFFFFF" w:themeColor="background1"/>
                <w:szCs w:val="24"/>
              </w:rPr>
              <w:t>Key performance indicators</w:t>
            </w:r>
          </w:p>
        </w:tc>
        <w:tc>
          <w:tcPr>
            <w:tcW w:w="1057" w:type="dxa"/>
            <w:shd w:val="clear" w:color="auto" w:fill="1B90B5"/>
            <w:vAlign w:val="center"/>
          </w:tcPr>
          <w:p w14:paraId="180C5B07" w14:textId="6BEB62BB" w:rsidR="00E00CE4" w:rsidRPr="004909F0" w:rsidRDefault="00E00CE4" w:rsidP="004909F0">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2019/20 actual</w:t>
            </w:r>
          </w:p>
        </w:tc>
        <w:tc>
          <w:tcPr>
            <w:tcW w:w="963" w:type="dxa"/>
            <w:shd w:val="clear" w:color="auto" w:fill="1B90B5"/>
          </w:tcPr>
          <w:p w14:paraId="2D0CE98B" w14:textId="77777777" w:rsidR="00E00CE4" w:rsidRPr="004909F0" w:rsidRDefault="00E00CE4" w:rsidP="004909F0">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Q1 actual</w:t>
            </w:r>
          </w:p>
        </w:tc>
        <w:tc>
          <w:tcPr>
            <w:tcW w:w="963" w:type="dxa"/>
            <w:shd w:val="clear" w:color="auto" w:fill="1B90B5"/>
          </w:tcPr>
          <w:p w14:paraId="4BA21F6D" w14:textId="43672A0F" w:rsidR="00E00CE4" w:rsidRDefault="00E00CE4" w:rsidP="0053129E">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Q2 actual</w:t>
            </w:r>
          </w:p>
        </w:tc>
        <w:tc>
          <w:tcPr>
            <w:tcW w:w="956" w:type="dxa"/>
            <w:shd w:val="clear" w:color="auto" w:fill="1B90B5"/>
          </w:tcPr>
          <w:p w14:paraId="636856B4" w14:textId="19BEE69F" w:rsidR="00E00CE4" w:rsidRPr="004909F0" w:rsidRDefault="00E00CE4" w:rsidP="0053129E">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Trend</w:t>
            </w:r>
          </w:p>
        </w:tc>
        <w:tc>
          <w:tcPr>
            <w:tcW w:w="1058" w:type="dxa"/>
            <w:shd w:val="clear" w:color="auto" w:fill="1B90B5"/>
          </w:tcPr>
          <w:p w14:paraId="34D33618" w14:textId="7DC84FC5" w:rsidR="00E00CE4" w:rsidRPr="004909F0" w:rsidRDefault="00E00CE4" w:rsidP="00E00CE4">
            <w:pPr>
              <w:tabs>
                <w:tab w:val="left" w:pos="1134"/>
              </w:tabs>
              <w:jc w:val="center"/>
              <w:rPr>
                <w:rFonts w:ascii="Arial" w:hAnsi="Arial" w:cs="Arial"/>
                <w:b/>
                <w:bCs/>
                <w:color w:val="FFFFFF" w:themeColor="background1"/>
                <w:szCs w:val="24"/>
              </w:rPr>
            </w:pPr>
            <w:r w:rsidRPr="004909F0">
              <w:rPr>
                <w:rFonts w:ascii="Arial" w:hAnsi="Arial" w:cs="Arial"/>
                <w:b/>
                <w:bCs/>
                <w:color w:val="FFFFFF" w:themeColor="background1"/>
                <w:szCs w:val="24"/>
              </w:rPr>
              <w:t xml:space="preserve">Target </w:t>
            </w:r>
            <w:r>
              <w:rPr>
                <w:rFonts w:ascii="Arial" w:hAnsi="Arial" w:cs="Arial"/>
                <w:b/>
                <w:bCs/>
                <w:color w:val="FFFFFF" w:themeColor="background1"/>
                <w:szCs w:val="24"/>
              </w:rPr>
              <w:t>Q2</w:t>
            </w:r>
          </w:p>
        </w:tc>
        <w:tc>
          <w:tcPr>
            <w:tcW w:w="6203" w:type="dxa"/>
            <w:shd w:val="clear" w:color="auto" w:fill="1B90B5"/>
          </w:tcPr>
          <w:p w14:paraId="25CF167B" w14:textId="77777777" w:rsidR="00E00CE4" w:rsidRPr="004909F0" w:rsidRDefault="00E00CE4" w:rsidP="00610C11">
            <w:pPr>
              <w:tabs>
                <w:tab w:val="left" w:pos="1134"/>
              </w:tabs>
              <w:rPr>
                <w:rFonts w:ascii="Arial" w:hAnsi="Arial" w:cs="Arial"/>
                <w:b/>
                <w:bCs/>
                <w:color w:val="FFFFFF" w:themeColor="background1"/>
                <w:szCs w:val="24"/>
              </w:rPr>
            </w:pPr>
            <w:r w:rsidRPr="004909F0">
              <w:rPr>
                <w:rFonts w:ascii="Arial" w:hAnsi="Arial" w:cs="Arial"/>
                <w:b/>
                <w:bCs/>
                <w:color w:val="FFFFFF" w:themeColor="background1"/>
                <w:szCs w:val="24"/>
              </w:rPr>
              <w:t>Progress and management action (where red/amber)</w:t>
            </w:r>
          </w:p>
        </w:tc>
      </w:tr>
      <w:tr w:rsidR="00E00CE4" w:rsidRPr="002E7893" w14:paraId="029EC064" w14:textId="77777777" w:rsidTr="00610C11">
        <w:trPr>
          <w:trHeight w:val="569"/>
        </w:trPr>
        <w:tc>
          <w:tcPr>
            <w:tcW w:w="4104" w:type="dxa"/>
            <w:vAlign w:val="center"/>
          </w:tcPr>
          <w:p w14:paraId="120DCD84" w14:textId="725C8FBE" w:rsidR="00E00CE4" w:rsidRPr="00D26961" w:rsidRDefault="00E00CE4" w:rsidP="0053129E">
            <w:pPr>
              <w:rPr>
                <w:rFonts w:ascii="Arial" w:eastAsia="Times New Roman" w:hAnsi="Arial" w:cs="Arial"/>
                <w:color w:val="000000"/>
                <w:szCs w:val="20"/>
                <w:lang w:eastAsia="en-GB"/>
              </w:rPr>
            </w:pPr>
            <w:r w:rsidRPr="00141839">
              <w:rPr>
                <w:rFonts w:ascii="Arial" w:hAnsi="Arial" w:cs="Arial"/>
              </w:rPr>
              <w:t>% of invoices from local Cumbrian businesses paid within 14 days</w:t>
            </w:r>
          </w:p>
        </w:tc>
        <w:tc>
          <w:tcPr>
            <w:tcW w:w="1057" w:type="dxa"/>
            <w:vAlign w:val="center"/>
          </w:tcPr>
          <w:p w14:paraId="3692066A" w14:textId="71BCFF58" w:rsidR="00E00CE4" w:rsidRPr="0053129E" w:rsidRDefault="00E00CE4" w:rsidP="0053129E">
            <w:pPr>
              <w:spacing w:line="259" w:lineRule="auto"/>
              <w:jc w:val="center"/>
              <w:rPr>
                <w:rFonts w:ascii="Arial" w:hAnsi="Arial" w:cs="Arial"/>
              </w:rPr>
            </w:pPr>
            <w:r>
              <w:rPr>
                <w:rFonts w:ascii="Arial" w:hAnsi="Arial" w:cs="Arial"/>
              </w:rPr>
              <w:t>93.3%</w:t>
            </w:r>
          </w:p>
        </w:tc>
        <w:tc>
          <w:tcPr>
            <w:tcW w:w="963" w:type="dxa"/>
            <w:shd w:val="clear" w:color="auto" w:fill="FFC000"/>
            <w:vAlign w:val="center"/>
          </w:tcPr>
          <w:p w14:paraId="1B0CD299" w14:textId="681F7362" w:rsidR="00E00CE4" w:rsidRPr="0053129E" w:rsidRDefault="00E00CE4" w:rsidP="0053129E">
            <w:pPr>
              <w:jc w:val="center"/>
              <w:rPr>
                <w:rFonts w:ascii="Arial" w:hAnsi="Arial" w:cs="Arial"/>
              </w:rPr>
            </w:pPr>
            <w:r>
              <w:rPr>
                <w:rFonts w:ascii="Arial" w:hAnsi="Arial" w:cs="Arial"/>
              </w:rPr>
              <w:t>97.8%</w:t>
            </w:r>
          </w:p>
        </w:tc>
        <w:tc>
          <w:tcPr>
            <w:tcW w:w="963" w:type="dxa"/>
            <w:shd w:val="clear" w:color="auto" w:fill="FFC000"/>
            <w:vAlign w:val="center"/>
          </w:tcPr>
          <w:p w14:paraId="19C59AB0" w14:textId="752BA43A" w:rsidR="00E00CE4" w:rsidRPr="00E00CE4" w:rsidRDefault="00E00CE4" w:rsidP="00E00CE4">
            <w:pPr>
              <w:jc w:val="center"/>
              <w:rPr>
                <w:rFonts w:ascii="Arial" w:hAnsi="Arial" w:cs="Arial"/>
              </w:rPr>
            </w:pPr>
            <w:r>
              <w:rPr>
                <w:rFonts w:ascii="Arial" w:hAnsi="Arial" w:cs="Arial"/>
              </w:rPr>
              <w:t>95.6%</w:t>
            </w:r>
          </w:p>
        </w:tc>
        <w:tc>
          <w:tcPr>
            <w:tcW w:w="956" w:type="dxa"/>
            <w:vAlign w:val="center"/>
          </w:tcPr>
          <w:p w14:paraId="55F7F300" w14:textId="4C608884" w:rsidR="00E00CE4" w:rsidRPr="0053129E" w:rsidRDefault="00E00CE4" w:rsidP="0053129E">
            <w:pPr>
              <w:jc w:val="center"/>
              <w:rPr>
                <w:rFonts w:ascii="Arial" w:hAnsi="Arial" w:cs="Arial"/>
              </w:rPr>
            </w:pPr>
            <w:r w:rsidRPr="00E00CE4">
              <w:rPr>
                <w:rFonts w:ascii="Wingdings 3" w:eastAsia="Wingdings 3" w:hAnsi="Wingdings 3" w:cs="Wingdings 3"/>
                <w:sz w:val="32"/>
                <w:szCs w:val="21"/>
              </w:rPr>
              <w:t></w:t>
            </w:r>
          </w:p>
        </w:tc>
        <w:tc>
          <w:tcPr>
            <w:tcW w:w="1058" w:type="dxa"/>
            <w:vAlign w:val="center"/>
          </w:tcPr>
          <w:p w14:paraId="2432226A" w14:textId="3554C4A9" w:rsidR="00E00CE4" w:rsidRPr="0053129E" w:rsidRDefault="00E00CE4" w:rsidP="0053129E">
            <w:pPr>
              <w:jc w:val="center"/>
              <w:rPr>
                <w:rFonts w:ascii="Arial" w:hAnsi="Arial" w:cs="Arial"/>
              </w:rPr>
            </w:pPr>
            <w:r w:rsidRPr="0053129E">
              <w:rPr>
                <w:rFonts w:ascii="Arial" w:hAnsi="Arial" w:cs="Arial"/>
              </w:rPr>
              <w:t>98</w:t>
            </w:r>
            <w:r>
              <w:rPr>
                <w:rFonts w:ascii="Arial" w:hAnsi="Arial" w:cs="Arial"/>
              </w:rPr>
              <w:t>.0</w:t>
            </w:r>
            <w:r w:rsidRPr="0053129E">
              <w:rPr>
                <w:rFonts w:ascii="Arial" w:hAnsi="Arial" w:cs="Arial"/>
              </w:rPr>
              <w:t>%</w:t>
            </w:r>
          </w:p>
        </w:tc>
        <w:tc>
          <w:tcPr>
            <w:tcW w:w="6203" w:type="dxa"/>
            <w:vAlign w:val="center"/>
          </w:tcPr>
          <w:p w14:paraId="325F0710" w14:textId="1BF691F2" w:rsidR="00E00CE4" w:rsidRPr="0053129E" w:rsidRDefault="00501655" w:rsidP="00501655">
            <w:pPr>
              <w:rPr>
                <w:rFonts w:ascii="Arial" w:hAnsi="Arial" w:cs="Arial"/>
              </w:rPr>
            </w:pPr>
            <w:r>
              <w:rPr>
                <w:rFonts w:ascii="Arial" w:hAnsi="Arial" w:cs="Arial"/>
              </w:rPr>
              <w:t>In Q</w:t>
            </w:r>
            <w:r w:rsidRPr="00501655">
              <w:rPr>
                <w:rFonts w:ascii="Arial" w:hAnsi="Arial" w:cs="Arial"/>
              </w:rPr>
              <w:t>2 the target of 98% was not achieved due to PO's not being delivered on time and invoices awaiting the authorisation of Budget Holders</w:t>
            </w:r>
            <w:r>
              <w:rPr>
                <w:rFonts w:ascii="Arial" w:hAnsi="Arial" w:cs="Arial"/>
              </w:rPr>
              <w:t>.</w:t>
            </w:r>
            <w:r w:rsidR="00E00CE4" w:rsidRPr="00E00CE4">
              <w:rPr>
                <w:rFonts w:ascii="Arial" w:hAnsi="Arial" w:cs="Arial"/>
              </w:rPr>
              <w:t xml:space="preserve"> </w:t>
            </w:r>
          </w:p>
        </w:tc>
      </w:tr>
      <w:tr w:rsidR="00E00CE4" w:rsidRPr="002E7893" w14:paraId="6B7F11EB" w14:textId="77777777" w:rsidTr="009A71BD">
        <w:trPr>
          <w:trHeight w:val="555"/>
        </w:trPr>
        <w:tc>
          <w:tcPr>
            <w:tcW w:w="4104" w:type="dxa"/>
            <w:vAlign w:val="center"/>
          </w:tcPr>
          <w:p w14:paraId="1F476C0F" w14:textId="66024639" w:rsidR="00E00CE4" w:rsidRPr="00D26961" w:rsidRDefault="00E00CE4" w:rsidP="0053129E">
            <w:pPr>
              <w:rPr>
                <w:rFonts w:ascii="Arial" w:eastAsia="Times New Roman" w:hAnsi="Arial" w:cs="Arial"/>
                <w:color w:val="000000"/>
                <w:szCs w:val="20"/>
                <w:lang w:eastAsia="en-GB"/>
              </w:rPr>
            </w:pPr>
            <w:r w:rsidRPr="00141839">
              <w:rPr>
                <w:rFonts w:ascii="Arial" w:eastAsia="Times New Roman" w:hAnsi="Arial" w:cs="Arial"/>
                <w:color w:val="000000"/>
                <w:lang w:eastAsia="en-GB"/>
              </w:rPr>
              <w:t xml:space="preserve">% of Council spend (less than £50k) on goods and services with local (Cumbrian) suppliers </w:t>
            </w:r>
          </w:p>
        </w:tc>
        <w:tc>
          <w:tcPr>
            <w:tcW w:w="1057" w:type="dxa"/>
            <w:vAlign w:val="center"/>
          </w:tcPr>
          <w:p w14:paraId="120949FB" w14:textId="49AF2601" w:rsidR="00E00CE4" w:rsidRPr="0053129E" w:rsidRDefault="00E00CE4" w:rsidP="0053129E">
            <w:pPr>
              <w:spacing w:line="259" w:lineRule="auto"/>
              <w:jc w:val="center"/>
              <w:rPr>
                <w:rFonts w:ascii="Arial" w:hAnsi="Arial" w:cs="Arial"/>
              </w:rPr>
            </w:pPr>
            <w:r>
              <w:rPr>
                <w:rFonts w:ascii="Arial" w:hAnsi="Arial" w:cs="Arial"/>
              </w:rPr>
              <w:t>47.40%</w:t>
            </w:r>
          </w:p>
        </w:tc>
        <w:tc>
          <w:tcPr>
            <w:tcW w:w="963" w:type="dxa"/>
            <w:shd w:val="clear" w:color="auto" w:fill="C00000"/>
            <w:vAlign w:val="center"/>
          </w:tcPr>
          <w:p w14:paraId="0967D417" w14:textId="5DA83367" w:rsidR="00E00CE4" w:rsidRPr="0053129E" w:rsidRDefault="00E00CE4" w:rsidP="0053129E">
            <w:pPr>
              <w:jc w:val="center"/>
              <w:rPr>
                <w:rFonts w:ascii="Arial" w:hAnsi="Arial" w:cs="Arial"/>
              </w:rPr>
            </w:pPr>
            <w:r>
              <w:rPr>
                <w:rFonts w:ascii="Arial" w:hAnsi="Arial" w:cs="Arial"/>
              </w:rPr>
              <w:t>43.96%</w:t>
            </w:r>
          </w:p>
        </w:tc>
        <w:tc>
          <w:tcPr>
            <w:tcW w:w="963" w:type="dxa"/>
            <w:shd w:val="clear" w:color="auto" w:fill="FFC000"/>
            <w:vAlign w:val="center"/>
          </w:tcPr>
          <w:p w14:paraId="31B8335A" w14:textId="78F00042" w:rsidR="00E00CE4" w:rsidRPr="00E00CE4" w:rsidRDefault="00E00CE4" w:rsidP="00E00CE4">
            <w:pPr>
              <w:jc w:val="center"/>
              <w:rPr>
                <w:rFonts w:ascii="Arial" w:hAnsi="Arial" w:cs="Arial"/>
              </w:rPr>
            </w:pPr>
            <w:r>
              <w:rPr>
                <w:rFonts w:ascii="Arial" w:hAnsi="Arial" w:cs="Arial"/>
              </w:rPr>
              <w:t>47.82%</w:t>
            </w:r>
          </w:p>
        </w:tc>
        <w:tc>
          <w:tcPr>
            <w:tcW w:w="956" w:type="dxa"/>
            <w:vAlign w:val="center"/>
          </w:tcPr>
          <w:p w14:paraId="6F4028C8" w14:textId="0CFAAC80" w:rsidR="00E00CE4" w:rsidRPr="0053129E" w:rsidRDefault="00E00CE4" w:rsidP="0053129E">
            <w:pPr>
              <w:jc w:val="center"/>
              <w:rPr>
                <w:rFonts w:ascii="Arial" w:hAnsi="Arial" w:cs="Arial"/>
              </w:rPr>
            </w:pPr>
            <w:r w:rsidRPr="00E14EFF">
              <w:rPr>
                <w:rFonts w:ascii="Wingdings 3" w:eastAsia="Wingdings 3" w:hAnsi="Wingdings 3" w:cs="Wingdings 3"/>
                <w:sz w:val="32"/>
                <w:szCs w:val="21"/>
              </w:rPr>
              <w:t></w:t>
            </w:r>
          </w:p>
        </w:tc>
        <w:tc>
          <w:tcPr>
            <w:tcW w:w="1058" w:type="dxa"/>
            <w:vAlign w:val="center"/>
          </w:tcPr>
          <w:p w14:paraId="0B6963DD" w14:textId="5D16D361" w:rsidR="00E00CE4" w:rsidRPr="0053129E" w:rsidRDefault="00E00CE4" w:rsidP="0053129E">
            <w:pPr>
              <w:jc w:val="center"/>
              <w:rPr>
                <w:rFonts w:ascii="Arial" w:hAnsi="Arial" w:cs="Arial"/>
              </w:rPr>
            </w:pPr>
            <w:r w:rsidRPr="0053129E">
              <w:rPr>
                <w:rFonts w:ascii="Arial" w:hAnsi="Arial" w:cs="Arial"/>
              </w:rPr>
              <w:t>50</w:t>
            </w:r>
            <w:r>
              <w:rPr>
                <w:rFonts w:ascii="Arial" w:hAnsi="Arial" w:cs="Arial"/>
              </w:rPr>
              <w:t>.00</w:t>
            </w:r>
            <w:r w:rsidRPr="0053129E">
              <w:rPr>
                <w:rFonts w:ascii="Arial" w:hAnsi="Arial" w:cs="Arial"/>
              </w:rPr>
              <w:t>%</w:t>
            </w:r>
          </w:p>
        </w:tc>
        <w:tc>
          <w:tcPr>
            <w:tcW w:w="6203" w:type="dxa"/>
            <w:vAlign w:val="center"/>
          </w:tcPr>
          <w:p w14:paraId="6528DBA4" w14:textId="0B9228C8" w:rsidR="00E00CE4" w:rsidRPr="0053129E" w:rsidRDefault="00050CC2" w:rsidP="00050CC2">
            <w:pPr>
              <w:rPr>
                <w:rFonts w:ascii="Arial" w:hAnsi="Arial" w:cs="Arial"/>
              </w:rPr>
            </w:pPr>
            <w:r w:rsidRPr="00050CC2">
              <w:rPr>
                <w:rFonts w:ascii="Arial" w:hAnsi="Arial" w:cs="Arial"/>
              </w:rPr>
              <w:t xml:space="preserve">The unprecedented times during Q2 due to the CV-19 emergency continue but we are heading towards our target for spend under £50K with local suppliers. The team continue to work with Council Officers about how they can add value to communities by spending locally. The Team are communicating tenders and requests for quotes through more social media channels to ensure local suppliers aware of opportunities.  </w:t>
            </w:r>
          </w:p>
        </w:tc>
      </w:tr>
      <w:tr w:rsidR="00050CC2" w:rsidRPr="002E7893" w14:paraId="45E50952" w14:textId="77777777" w:rsidTr="00610C11">
        <w:trPr>
          <w:trHeight w:val="942"/>
        </w:trPr>
        <w:tc>
          <w:tcPr>
            <w:tcW w:w="4104" w:type="dxa"/>
            <w:vAlign w:val="center"/>
          </w:tcPr>
          <w:p w14:paraId="19D7917B" w14:textId="39EEBAA3" w:rsidR="00050CC2" w:rsidRPr="00141839" w:rsidRDefault="00050CC2" w:rsidP="00050CC2">
            <w:pPr>
              <w:rPr>
                <w:rFonts w:ascii="Arial" w:eastAsia="Times New Roman" w:hAnsi="Arial" w:cs="Arial"/>
                <w:color w:val="000000"/>
                <w:lang w:eastAsia="en-GB"/>
              </w:rPr>
            </w:pPr>
            <w:r>
              <w:rPr>
                <w:rFonts w:ascii="Arial" w:eastAsia="Times New Roman" w:hAnsi="Arial" w:cs="Arial"/>
                <w:color w:val="000000"/>
                <w:lang w:eastAsia="en-GB"/>
              </w:rPr>
              <w:lastRenderedPageBreak/>
              <w:t xml:space="preserve">% of all Council spend </w:t>
            </w:r>
            <w:r w:rsidRPr="00141839">
              <w:rPr>
                <w:rFonts w:ascii="Arial" w:eastAsia="Times New Roman" w:hAnsi="Arial" w:cs="Arial"/>
                <w:color w:val="000000"/>
                <w:lang w:eastAsia="en-GB"/>
              </w:rPr>
              <w:t>on goods and services with local (Cumbrian) suppliers</w:t>
            </w:r>
          </w:p>
        </w:tc>
        <w:tc>
          <w:tcPr>
            <w:tcW w:w="1057" w:type="dxa"/>
            <w:vAlign w:val="center"/>
          </w:tcPr>
          <w:p w14:paraId="7DF4DFCA" w14:textId="110C8B9F" w:rsidR="00050CC2" w:rsidRDefault="0017434E" w:rsidP="00050CC2">
            <w:pPr>
              <w:jc w:val="center"/>
              <w:rPr>
                <w:rFonts w:ascii="Arial" w:hAnsi="Arial" w:cs="Arial"/>
              </w:rPr>
            </w:pPr>
            <w:r>
              <w:rPr>
                <w:rFonts w:ascii="Arial" w:hAnsi="Arial" w:cs="Arial"/>
              </w:rPr>
              <w:t>51.48%</w:t>
            </w:r>
          </w:p>
        </w:tc>
        <w:tc>
          <w:tcPr>
            <w:tcW w:w="963" w:type="dxa"/>
            <w:shd w:val="clear" w:color="auto" w:fill="92D050"/>
            <w:vAlign w:val="center"/>
          </w:tcPr>
          <w:p w14:paraId="363A4CDB" w14:textId="0553CFBF" w:rsidR="00050CC2" w:rsidRDefault="00050CC2" w:rsidP="00050CC2">
            <w:pPr>
              <w:jc w:val="center"/>
              <w:rPr>
                <w:rFonts w:ascii="Arial" w:hAnsi="Arial" w:cs="Arial"/>
              </w:rPr>
            </w:pPr>
            <w:r>
              <w:rPr>
                <w:rFonts w:ascii="Arial" w:hAnsi="Arial" w:cs="Arial"/>
              </w:rPr>
              <w:t>62.33%</w:t>
            </w:r>
          </w:p>
        </w:tc>
        <w:tc>
          <w:tcPr>
            <w:tcW w:w="963" w:type="dxa"/>
            <w:shd w:val="clear" w:color="auto" w:fill="92D050"/>
            <w:vAlign w:val="center"/>
          </w:tcPr>
          <w:p w14:paraId="75A34CCA" w14:textId="37CD79B1" w:rsidR="00050CC2" w:rsidRPr="00E00CE4" w:rsidRDefault="00050CC2" w:rsidP="00050CC2">
            <w:pPr>
              <w:jc w:val="center"/>
              <w:rPr>
                <w:rFonts w:ascii="Arial" w:eastAsia="Wingdings 3" w:hAnsi="Arial" w:cs="Arial"/>
                <w:szCs w:val="21"/>
              </w:rPr>
            </w:pPr>
            <w:r w:rsidRPr="00E00CE4">
              <w:rPr>
                <w:rFonts w:ascii="Arial" w:hAnsi="Arial" w:cs="Arial"/>
              </w:rPr>
              <w:t>63.60%</w:t>
            </w:r>
          </w:p>
        </w:tc>
        <w:tc>
          <w:tcPr>
            <w:tcW w:w="956" w:type="dxa"/>
            <w:vAlign w:val="center"/>
          </w:tcPr>
          <w:p w14:paraId="14C5DC6B" w14:textId="31CF5832" w:rsidR="00050CC2" w:rsidRDefault="00050CC2" w:rsidP="00050CC2">
            <w:pPr>
              <w:jc w:val="center"/>
              <w:rPr>
                <w:rFonts w:ascii="Arial" w:hAnsi="Arial" w:cs="Arial"/>
              </w:rPr>
            </w:pPr>
            <w:r w:rsidRPr="00E14EFF">
              <w:rPr>
                <w:rFonts w:ascii="Wingdings 3" w:eastAsia="Wingdings 3" w:hAnsi="Wingdings 3" w:cs="Wingdings 3"/>
                <w:sz w:val="32"/>
                <w:szCs w:val="21"/>
              </w:rPr>
              <w:t></w:t>
            </w:r>
          </w:p>
        </w:tc>
        <w:tc>
          <w:tcPr>
            <w:tcW w:w="1058" w:type="dxa"/>
            <w:vAlign w:val="center"/>
          </w:tcPr>
          <w:p w14:paraId="05A5B23E" w14:textId="46DE07F2" w:rsidR="00050CC2" w:rsidRPr="0053129E" w:rsidRDefault="00050CC2" w:rsidP="00050CC2">
            <w:pPr>
              <w:jc w:val="center"/>
              <w:rPr>
                <w:rFonts w:ascii="Arial" w:hAnsi="Arial" w:cs="Arial"/>
              </w:rPr>
            </w:pPr>
            <w:r w:rsidRPr="0053129E">
              <w:rPr>
                <w:rFonts w:ascii="Arial" w:hAnsi="Arial" w:cs="Arial"/>
              </w:rPr>
              <w:t>50</w:t>
            </w:r>
            <w:r>
              <w:rPr>
                <w:rFonts w:ascii="Arial" w:hAnsi="Arial" w:cs="Arial"/>
              </w:rPr>
              <w:t>.00</w:t>
            </w:r>
            <w:r w:rsidRPr="0053129E">
              <w:rPr>
                <w:rFonts w:ascii="Arial" w:hAnsi="Arial" w:cs="Arial"/>
              </w:rPr>
              <w:t>%</w:t>
            </w:r>
          </w:p>
        </w:tc>
        <w:tc>
          <w:tcPr>
            <w:tcW w:w="6203" w:type="dxa"/>
            <w:vAlign w:val="center"/>
          </w:tcPr>
          <w:p w14:paraId="40B39EEF" w14:textId="3DE453DA" w:rsidR="00050CC2" w:rsidRDefault="00050CC2" w:rsidP="00050CC2">
            <w:pPr>
              <w:rPr>
                <w:rFonts w:ascii="Arial" w:hAnsi="Arial" w:cs="Arial"/>
              </w:rPr>
            </w:pPr>
            <w:r w:rsidRPr="00050CC2">
              <w:rPr>
                <w:rFonts w:ascii="Arial" w:hAnsi="Arial" w:cs="Arial"/>
              </w:rPr>
              <w:t>For all Council spend at all values we exceed th</w:t>
            </w:r>
            <w:r>
              <w:rPr>
                <w:rFonts w:ascii="Arial" w:hAnsi="Arial" w:cs="Arial"/>
              </w:rPr>
              <w:t>e target and Q2 shows an improvement on Q1.</w:t>
            </w:r>
          </w:p>
        </w:tc>
      </w:tr>
      <w:tr w:rsidR="00050CC2" w:rsidRPr="002E7893" w14:paraId="22B90706" w14:textId="77777777" w:rsidTr="00610C11">
        <w:trPr>
          <w:trHeight w:val="550"/>
        </w:trPr>
        <w:tc>
          <w:tcPr>
            <w:tcW w:w="4104" w:type="dxa"/>
            <w:vAlign w:val="center"/>
          </w:tcPr>
          <w:p w14:paraId="04DF616E" w14:textId="295B753F" w:rsidR="00050CC2" w:rsidRPr="00D26961" w:rsidRDefault="00050CC2" w:rsidP="00050CC2">
            <w:pPr>
              <w:rPr>
                <w:rFonts w:ascii="Arial" w:eastAsia="Times New Roman" w:hAnsi="Arial" w:cs="Arial"/>
                <w:color w:val="000000"/>
                <w:szCs w:val="20"/>
                <w:lang w:eastAsia="en-GB"/>
              </w:rPr>
            </w:pPr>
            <w:r w:rsidRPr="00141839">
              <w:rPr>
                <w:rFonts w:ascii="Arial" w:hAnsi="Arial" w:cs="Arial"/>
              </w:rPr>
              <w:t>Numbers of affordable homes delivered</w:t>
            </w:r>
          </w:p>
        </w:tc>
        <w:tc>
          <w:tcPr>
            <w:tcW w:w="1057" w:type="dxa"/>
            <w:vAlign w:val="center"/>
          </w:tcPr>
          <w:p w14:paraId="08A97296" w14:textId="0ACC88FB" w:rsidR="00050CC2" w:rsidRPr="0053129E" w:rsidRDefault="00050CC2" w:rsidP="00050CC2">
            <w:pPr>
              <w:spacing w:line="259" w:lineRule="auto"/>
              <w:jc w:val="center"/>
              <w:rPr>
                <w:rFonts w:ascii="Arial" w:hAnsi="Arial" w:cs="Arial"/>
              </w:rPr>
            </w:pPr>
            <w:r>
              <w:rPr>
                <w:rFonts w:ascii="Arial" w:hAnsi="Arial" w:cs="Arial"/>
              </w:rPr>
              <w:t>54</w:t>
            </w:r>
          </w:p>
        </w:tc>
        <w:tc>
          <w:tcPr>
            <w:tcW w:w="963" w:type="dxa"/>
            <w:vAlign w:val="center"/>
          </w:tcPr>
          <w:p w14:paraId="679D8BC1" w14:textId="280EA8F8" w:rsidR="00050CC2" w:rsidRPr="0053129E" w:rsidRDefault="00050CC2" w:rsidP="00050CC2">
            <w:pPr>
              <w:jc w:val="center"/>
              <w:rPr>
                <w:rFonts w:ascii="Arial" w:hAnsi="Arial" w:cs="Arial"/>
              </w:rPr>
            </w:pPr>
            <w:r>
              <w:rPr>
                <w:rFonts w:ascii="Arial" w:hAnsi="Arial" w:cs="Arial"/>
              </w:rPr>
              <w:t>0</w:t>
            </w:r>
          </w:p>
        </w:tc>
        <w:tc>
          <w:tcPr>
            <w:tcW w:w="963" w:type="dxa"/>
            <w:vAlign w:val="center"/>
          </w:tcPr>
          <w:p w14:paraId="6CF1E087" w14:textId="749E775B" w:rsidR="00050CC2" w:rsidRPr="00E00CE4" w:rsidRDefault="00050CC2" w:rsidP="00050CC2">
            <w:pPr>
              <w:jc w:val="center"/>
              <w:rPr>
                <w:rFonts w:ascii="Arial" w:eastAsia="Wingdings 3" w:hAnsi="Arial" w:cs="Arial"/>
                <w:szCs w:val="21"/>
              </w:rPr>
            </w:pPr>
            <w:r w:rsidRPr="00E00CE4">
              <w:rPr>
                <w:rFonts w:ascii="Arial" w:eastAsia="Wingdings 3" w:hAnsi="Arial" w:cs="Arial"/>
                <w:szCs w:val="21"/>
              </w:rPr>
              <w:t>5</w:t>
            </w:r>
          </w:p>
        </w:tc>
        <w:tc>
          <w:tcPr>
            <w:tcW w:w="956" w:type="dxa"/>
            <w:vAlign w:val="center"/>
          </w:tcPr>
          <w:p w14:paraId="22074BD9" w14:textId="3BE4C878" w:rsidR="00050CC2" w:rsidRPr="00E00CE4" w:rsidRDefault="00610C11" w:rsidP="00050CC2">
            <w:pPr>
              <w:jc w:val="center"/>
              <w:rPr>
                <w:rFonts w:ascii="Arial" w:hAnsi="Arial" w:cs="Arial"/>
                <w:highlight w:val="yellow"/>
              </w:rPr>
            </w:pPr>
            <w:r w:rsidRPr="00610C11">
              <w:rPr>
                <w:rFonts w:ascii="Wingdings 3" w:eastAsia="Wingdings 3" w:hAnsi="Wingdings 3" w:cs="Wingdings 3"/>
                <w:sz w:val="32"/>
                <w:szCs w:val="21"/>
              </w:rPr>
              <w:t></w:t>
            </w:r>
          </w:p>
        </w:tc>
        <w:tc>
          <w:tcPr>
            <w:tcW w:w="1058" w:type="dxa"/>
            <w:vAlign w:val="center"/>
          </w:tcPr>
          <w:p w14:paraId="0CF58A6B" w14:textId="14A82ABB" w:rsidR="00050CC2" w:rsidRPr="0053129E" w:rsidRDefault="00050CC2" w:rsidP="00050CC2">
            <w:pPr>
              <w:jc w:val="center"/>
              <w:rPr>
                <w:rFonts w:ascii="Arial" w:hAnsi="Arial" w:cs="Arial"/>
              </w:rPr>
            </w:pPr>
            <w:r w:rsidRPr="0053129E">
              <w:rPr>
                <w:rFonts w:ascii="Arial" w:hAnsi="Arial" w:cs="Arial"/>
              </w:rPr>
              <w:t>Not targeted</w:t>
            </w:r>
          </w:p>
        </w:tc>
        <w:tc>
          <w:tcPr>
            <w:tcW w:w="6203" w:type="dxa"/>
            <w:vAlign w:val="center"/>
          </w:tcPr>
          <w:p w14:paraId="42CBE265" w14:textId="6967215E" w:rsidR="00050CC2" w:rsidRPr="0053129E" w:rsidRDefault="00610C11" w:rsidP="00050CC2">
            <w:pPr>
              <w:rPr>
                <w:rFonts w:ascii="Arial" w:hAnsi="Arial" w:cs="Arial"/>
              </w:rPr>
            </w:pPr>
            <w:r>
              <w:rPr>
                <w:rFonts w:ascii="Arial" w:hAnsi="Arial" w:cs="Arial"/>
              </w:rPr>
              <w:t xml:space="preserve">Numbers still very low.  </w:t>
            </w:r>
          </w:p>
        </w:tc>
      </w:tr>
      <w:tr w:rsidR="00050CC2" w:rsidRPr="002E7893" w14:paraId="2B662B7B" w14:textId="77777777" w:rsidTr="00610C11">
        <w:trPr>
          <w:trHeight w:val="655"/>
        </w:trPr>
        <w:tc>
          <w:tcPr>
            <w:tcW w:w="4104" w:type="dxa"/>
            <w:vAlign w:val="center"/>
          </w:tcPr>
          <w:p w14:paraId="2F4F2BDA" w14:textId="2FBAF80C" w:rsidR="00050CC2" w:rsidRPr="00E61E12" w:rsidRDefault="00050CC2" w:rsidP="00050CC2">
            <w:pPr>
              <w:rPr>
                <w:rFonts w:ascii="Arial" w:eastAsia="Times New Roman" w:hAnsi="Arial" w:cs="Arial"/>
                <w:color w:val="000000"/>
                <w:szCs w:val="20"/>
                <w:highlight w:val="lightGray"/>
                <w:lang w:eastAsia="en-GB"/>
              </w:rPr>
            </w:pPr>
            <w:r w:rsidRPr="00141839">
              <w:rPr>
                <w:rFonts w:ascii="Arial" w:hAnsi="Arial" w:cs="Arial"/>
              </w:rPr>
              <w:t>Full Plans determined within 5 weeks (Building Control)</w:t>
            </w:r>
          </w:p>
        </w:tc>
        <w:tc>
          <w:tcPr>
            <w:tcW w:w="1057" w:type="dxa"/>
            <w:vAlign w:val="center"/>
          </w:tcPr>
          <w:p w14:paraId="0B52064B" w14:textId="320976C8" w:rsidR="00050CC2" w:rsidRPr="0053129E" w:rsidRDefault="00050CC2" w:rsidP="00050CC2">
            <w:pPr>
              <w:jc w:val="center"/>
              <w:rPr>
                <w:rFonts w:ascii="Arial" w:hAnsi="Arial" w:cs="Arial"/>
              </w:rPr>
            </w:pPr>
            <w:r>
              <w:rPr>
                <w:rFonts w:ascii="Arial" w:hAnsi="Arial" w:cs="Arial"/>
              </w:rPr>
              <w:t>84%</w:t>
            </w:r>
          </w:p>
        </w:tc>
        <w:tc>
          <w:tcPr>
            <w:tcW w:w="963" w:type="dxa"/>
            <w:shd w:val="clear" w:color="auto" w:fill="92D050"/>
            <w:vAlign w:val="center"/>
          </w:tcPr>
          <w:p w14:paraId="64C81248" w14:textId="3CECABA3" w:rsidR="00050CC2" w:rsidRPr="0053129E" w:rsidRDefault="00050CC2" w:rsidP="00050CC2">
            <w:pPr>
              <w:jc w:val="center"/>
              <w:rPr>
                <w:rFonts w:ascii="Arial" w:hAnsi="Arial" w:cs="Arial"/>
              </w:rPr>
            </w:pPr>
            <w:r>
              <w:rPr>
                <w:rFonts w:ascii="Arial" w:hAnsi="Arial" w:cs="Arial"/>
              </w:rPr>
              <w:t>100%</w:t>
            </w:r>
          </w:p>
        </w:tc>
        <w:tc>
          <w:tcPr>
            <w:tcW w:w="963" w:type="dxa"/>
            <w:shd w:val="clear" w:color="auto" w:fill="92D050"/>
            <w:vAlign w:val="center"/>
          </w:tcPr>
          <w:p w14:paraId="1C256C1A" w14:textId="3B649DCC" w:rsidR="00050CC2" w:rsidRPr="00E00CE4" w:rsidRDefault="00050CC2" w:rsidP="00050CC2">
            <w:pPr>
              <w:jc w:val="center"/>
              <w:rPr>
                <w:rFonts w:ascii="Arial" w:eastAsia="Wingdings 3" w:hAnsi="Arial" w:cs="Arial"/>
                <w:szCs w:val="21"/>
              </w:rPr>
            </w:pPr>
            <w:r>
              <w:rPr>
                <w:rFonts w:ascii="Arial" w:hAnsi="Arial" w:cs="Arial"/>
              </w:rPr>
              <w:t>100%</w:t>
            </w:r>
          </w:p>
        </w:tc>
        <w:tc>
          <w:tcPr>
            <w:tcW w:w="956" w:type="dxa"/>
            <w:shd w:val="clear" w:color="auto" w:fill="auto"/>
            <w:vAlign w:val="center"/>
          </w:tcPr>
          <w:p w14:paraId="6A724658" w14:textId="3EB67EF5" w:rsidR="00050CC2" w:rsidRPr="00E00CE4" w:rsidRDefault="00050CC2" w:rsidP="00050CC2">
            <w:pPr>
              <w:jc w:val="center"/>
              <w:rPr>
                <w:rFonts w:ascii="Arial" w:hAnsi="Arial" w:cs="Arial"/>
                <w:highlight w:val="yellow"/>
              </w:rPr>
            </w:pPr>
            <w:r w:rsidRPr="00E14EFF">
              <w:rPr>
                <w:rFonts w:ascii="Wingdings 3" w:eastAsia="Wingdings 3" w:hAnsi="Wingdings 3" w:cs="Wingdings 3"/>
                <w:sz w:val="32"/>
                <w:szCs w:val="21"/>
              </w:rPr>
              <w:t></w:t>
            </w:r>
          </w:p>
        </w:tc>
        <w:tc>
          <w:tcPr>
            <w:tcW w:w="1058" w:type="dxa"/>
            <w:shd w:val="clear" w:color="auto" w:fill="auto"/>
            <w:vAlign w:val="center"/>
          </w:tcPr>
          <w:p w14:paraId="3D019747" w14:textId="127C0B5F" w:rsidR="00050CC2" w:rsidRPr="0053129E" w:rsidRDefault="00050CC2" w:rsidP="00050CC2">
            <w:pPr>
              <w:jc w:val="center"/>
              <w:rPr>
                <w:rFonts w:ascii="Arial" w:hAnsi="Arial" w:cs="Arial"/>
              </w:rPr>
            </w:pPr>
            <w:r w:rsidRPr="0053129E">
              <w:rPr>
                <w:rFonts w:ascii="Arial" w:hAnsi="Arial" w:cs="Arial"/>
              </w:rPr>
              <w:t>85%</w:t>
            </w:r>
          </w:p>
        </w:tc>
        <w:tc>
          <w:tcPr>
            <w:tcW w:w="6203" w:type="dxa"/>
            <w:shd w:val="clear" w:color="auto" w:fill="auto"/>
            <w:vAlign w:val="center"/>
          </w:tcPr>
          <w:p w14:paraId="01155B8F" w14:textId="23687F1B" w:rsidR="00050CC2" w:rsidRPr="0053129E" w:rsidRDefault="00050CC2" w:rsidP="00050CC2">
            <w:pPr>
              <w:rPr>
                <w:rFonts w:ascii="Arial" w:hAnsi="Arial" w:cs="Arial"/>
              </w:rPr>
            </w:pPr>
          </w:p>
        </w:tc>
      </w:tr>
      <w:tr w:rsidR="00050CC2" w:rsidRPr="002E7893" w14:paraId="2D0A529A" w14:textId="77777777" w:rsidTr="00822A6A">
        <w:trPr>
          <w:trHeight w:val="635"/>
        </w:trPr>
        <w:tc>
          <w:tcPr>
            <w:tcW w:w="4104" w:type="dxa"/>
            <w:vAlign w:val="center"/>
          </w:tcPr>
          <w:p w14:paraId="099EDFCF" w14:textId="5ED1B18F" w:rsidR="00050CC2" w:rsidRPr="00E61E12" w:rsidRDefault="00050CC2" w:rsidP="00050CC2">
            <w:pPr>
              <w:rPr>
                <w:rFonts w:ascii="Arial" w:hAnsi="Arial" w:cs="Arial"/>
                <w:highlight w:val="lightGray"/>
              </w:rPr>
            </w:pPr>
            <w:r w:rsidRPr="00141839">
              <w:rPr>
                <w:rFonts w:ascii="Arial" w:hAnsi="Arial" w:cs="Arial"/>
              </w:rPr>
              <w:t>% of Local Land Charges Searches carried out within 10 working days</w:t>
            </w:r>
          </w:p>
        </w:tc>
        <w:tc>
          <w:tcPr>
            <w:tcW w:w="1057" w:type="dxa"/>
            <w:vAlign w:val="center"/>
          </w:tcPr>
          <w:p w14:paraId="2EFCCA2D" w14:textId="3AF21431" w:rsidR="00050CC2" w:rsidRPr="0053129E" w:rsidRDefault="00050CC2" w:rsidP="00050CC2">
            <w:pPr>
              <w:jc w:val="center"/>
              <w:rPr>
                <w:rFonts w:ascii="Arial" w:hAnsi="Arial" w:cs="Arial"/>
              </w:rPr>
            </w:pPr>
            <w:r>
              <w:rPr>
                <w:rFonts w:ascii="Arial" w:hAnsi="Arial" w:cs="Arial"/>
              </w:rPr>
              <w:t>99.4%</w:t>
            </w:r>
          </w:p>
        </w:tc>
        <w:tc>
          <w:tcPr>
            <w:tcW w:w="963" w:type="dxa"/>
            <w:shd w:val="clear" w:color="auto" w:fill="92D050"/>
            <w:vAlign w:val="center"/>
          </w:tcPr>
          <w:p w14:paraId="32E4E47F" w14:textId="65D12CED" w:rsidR="00050CC2" w:rsidRPr="0053129E" w:rsidRDefault="00050CC2" w:rsidP="00050CC2">
            <w:pPr>
              <w:jc w:val="center"/>
              <w:rPr>
                <w:rFonts w:ascii="Arial" w:hAnsi="Arial" w:cs="Arial"/>
              </w:rPr>
            </w:pPr>
            <w:r w:rsidRPr="0053129E">
              <w:rPr>
                <w:rFonts w:ascii="Arial" w:hAnsi="Arial" w:cs="Arial"/>
              </w:rPr>
              <w:t>100%</w:t>
            </w:r>
          </w:p>
        </w:tc>
        <w:tc>
          <w:tcPr>
            <w:tcW w:w="963" w:type="dxa"/>
            <w:shd w:val="clear" w:color="auto" w:fill="92D050"/>
            <w:vAlign w:val="center"/>
          </w:tcPr>
          <w:p w14:paraId="69E0DAEB" w14:textId="3A24CFFC" w:rsidR="00050CC2" w:rsidRPr="00E00CE4" w:rsidRDefault="00610C11" w:rsidP="00050CC2">
            <w:pPr>
              <w:jc w:val="center"/>
              <w:rPr>
                <w:rFonts w:ascii="Arial" w:eastAsia="Wingdings 3" w:hAnsi="Arial" w:cs="Arial"/>
                <w:szCs w:val="21"/>
              </w:rPr>
            </w:pPr>
            <w:r>
              <w:rPr>
                <w:rFonts w:ascii="Arial" w:eastAsia="Wingdings 3" w:hAnsi="Arial" w:cs="Arial"/>
                <w:szCs w:val="21"/>
              </w:rPr>
              <w:t>99.9%</w:t>
            </w:r>
          </w:p>
        </w:tc>
        <w:tc>
          <w:tcPr>
            <w:tcW w:w="956" w:type="dxa"/>
            <w:vAlign w:val="center"/>
          </w:tcPr>
          <w:p w14:paraId="121EAA8D" w14:textId="1DA566D2" w:rsidR="00050CC2" w:rsidRPr="00E00CE4" w:rsidRDefault="00610C11" w:rsidP="00050CC2">
            <w:pPr>
              <w:jc w:val="center"/>
              <w:rPr>
                <w:rFonts w:ascii="Arial" w:hAnsi="Arial" w:cs="Arial"/>
                <w:highlight w:val="yellow"/>
              </w:rPr>
            </w:pPr>
            <w:r w:rsidRPr="00610C11">
              <w:rPr>
                <w:rFonts w:ascii="Wingdings 3" w:eastAsia="Wingdings 3" w:hAnsi="Wingdings 3" w:cs="Wingdings 3"/>
                <w:sz w:val="32"/>
                <w:szCs w:val="21"/>
              </w:rPr>
              <w:t></w:t>
            </w:r>
          </w:p>
        </w:tc>
        <w:tc>
          <w:tcPr>
            <w:tcW w:w="1058" w:type="dxa"/>
            <w:vAlign w:val="center"/>
          </w:tcPr>
          <w:p w14:paraId="3D81AD37" w14:textId="3BCD0145" w:rsidR="00050CC2" w:rsidRPr="0053129E" w:rsidRDefault="00050CC2" w:rsidP="00050CC2">
            <w:pPr>
              <w:jc w:val="center"/>
              <w:rPr>
                <w:rFonts w:ascii="Arial" w:hAnsi="Arial" w:cs="Arial"/>
              </w:rPr>
            </w:pPr>
            <w:r w:rsidRPr="0053129E">
              <w:rPr>
                <w:rFonts w:ascii="Arial" w:hAnsi="Arial" w:cs="Arial"/>
              </w:rPr>
              <w:t>100%</w:t>
            </w:r>
          </w:p>
        </w:tc>
        <w:tc>
          <w:tcPr>
            <w:tcW w:w="6203" w:type="dxa"/>
            <w:vAlign w:val="center"/>
          </w:tcPr>
          <w:p w14:paraId="32DEEBD7" w14:textId="77777777" w:rsidR="00050CC2" w:rsidRPr="0053129E" w:rsidRDefault="00050CC2" w:rsidP="00050CC2">
            <w:pPr>
              <w:rPr>
                <w:rFonts w:ascii="Arial" w:hAnsi="Arial" w:cs="Arial"/>
              </w:rPr>
            </w:pPr>
          </w:p>
        </w:tc>
      </w:tr>
      <w:tr w:rsidR="00050CC2" w:rsidRPr="002E7893" w14:paraId="11D9604C" w14:textId="77777777" w:rsidTr="00610C11">
        <w:trPr>
          <w:trHeight w:val="612"/>
        </w:trPr>
        <w:tc>
          <w:tcPr>
            <w:tcW w:w="4104" w:type="dxa"/>
            <w:vAlign w:val="center"/>
          </w:tcPr>
          <w:p w14:paraId="36876A6D" w14:textId="4E2C4AB8" w:rsidR="00050CC2" w:rsidRPr="00E61E12" w:rsidRDefault="00050CC2" w:rsidP="00050CC2">
            <w:pPr>
              <w:rPr>
                <w:rFonts w:ascii="Arial" w:hAnsi="Arial" w:cs="Arial"/>
                <w:highlight w:val="lightGray"/>
              </w:rPr>
            </w:pPr>
            <w:r w:rsidRPr="00141839">
              <w:rPr>
                <w:rFonts w:ascii="Arial" w:hAnsi="Arial" w:cs="Arial"/>
              </w:rPr>
              <w:t>% of minor and other planning applications determined within statutory period</w:t>
            </w:r>
          </w:p>
        </w:tc>
        <w:tc>
          <w:tcPr>
            <w:tcW w:w="1057" w:type="dxa"/>
            <w:vAlign w:val="center"/>
          </w:tcPr>
          <w:p w14:paraId="040A9B56" w14:textId="167B8731" w:rsidR="00050CC2" w:rsidRPr="0053129E" w:rsidRDefault="00050CC2" w:rsidP="00050CC2">
            <w:pPr>
              <w:jc w:val="center"/>
              <w:rPr>
                <w:rFonts w:ascii="Arial" w:hAnsi="Arial" w:cs="Arial"/>
              </w:rPr>
            </w:pPr>
            <w:r>
              <w:rPr>
                <w:rFonts w:ascii="Arial" w:hAnsi="Arial" w:cs="Arial"/>
              </w:rPr>
              <w:t>90%</w:t>
            </w:r>
          </w:p>
        </w:tc>
        <w:tc>
          <w:tcPr>
            <w:tcW w:w="963" w:type="dxa"/>
            <w:shd w:val="clear" w:color="auto" w:fill="92D050"/>
            <w:vAlign w:val="center"/>
          </w:tcPr>
          <w:p w14:paraId="25F5ED83" w14:textId="7B7CBD40" w:rsidR="00050CC2" w:rsidRPr="0053129E" w:rsidRDefault="00050CC2" w:rsidP="00050CC2">
            <w:pPr>
              <w:jc w:val="center"/>
              <w:rPr>
                <w:rFonts w:ascii="Arial" w:hAnsi="Arial" w:cs="Arial"/>
              </w:rPr>
            </w:pPr>
            <w:r>
              <w:rPr>
                <w:rFonts w:ascii="Arial" w:hAnsi="Arial" w:cs="Arial"/>
              </w:rPr>
              <w:t>95.4%</w:t>
            </w:r>
          </w:p>
        </w:tc>
        <w:tc>
          <w:tcPr>
            <w:tcW w:w="963" w:type="dxa"/>
            <w:shd w:val="clear" w:color="auto" w:fill="FFC000"/>
            <w:vAlign w:val="center"/>
          </w:tcPr>
          <w:p w14:paraId="1D07DFE6" w14:textId="3C531FA6" w:rsidR="00050CC2" w:rsidRPr="00E00CE4" w:rsidRDefault="00610C11" w:rsidP="00050CC2">
            <w:pPr>
              <w:jc w:val="center"/>
              <w:rPr>
                <w:rFonts w:ascii="Arial" w:eastAsia="Wingdings 3" w:hAnsi="Arial" w:cs="Arial"/>
                <w:szCs w:val="21"/>
              </w:rPr>
            </w:pPr>
            <w:r>
              <w:rPr>
                <w:rFonts w:ascii="Arial" w:eastAsia="Wingdings 3" w:hAnsi="Arial" w:cs="Arial"/>
                <w:szCs w:val="21"/>
              </w:rPr>
              <w:t>88.8%</w:t>
            </w:r>
          </w:p>
        </w:tc>
        <w:tc>
          <w:tcPr>
            <w:tcW w:w="956" w:type="dxa"/>
            <w:shd w:val="clear" w:color="auto" w:fill="auto"/>
            <w:vAlign w:val="center"/>
          </w:tcPr>
          <w:p w14:paraId="66A58810" w14:textId="26866156" w:rsidR="00050CC2" w:rsidRPr="00E00CE4" w:rsidRDefault="00610C11" w:rsidP="00050CC2">
            <w:pPr>
              <w:jc w:val="center"/>
              <w:rPr>
                <w:rFonts w:ascii="Arial" w:hAnsi="Arial" w:cs="Arial"/>
                <w:highlight w:val="yellow"/>
              </w:rPr>
            </w:pPr>
            <w:r w:rsidRPr="00610C11">
              <w:rPr>
                <w:rFonts w:ascii="Wingdings 3" w:eastAsia="Wingdings 3" w:hAnsi="Wingdings 3" w:cs="Wingdings 3"/>
                <w:sz w:val="32"/>
                <w:szCs w:val="21"/>
              </w:rPr>
              <w:t></w:t>
            </w:r>
          </w:p>
        </w:tc>
        <w:tc>
          <w:tcPr>
            <w:tcW w:w="1058" w:type="dxa"/>
            <w:shd w:val="clear" w:color="auto" w:fill="auto"/>
            <w:vAlign w:val="center"/>
          </w:tcPr>
          <w:p w14:paraId="7761C6F8" w14:textId="43680BFD" w:rsidR="00050CC2" w:rsidRPr="00E03FDE" w:rsidRDefault="00050CC2" w:rsidP="00050CC2">
            <w:pPr>
              <w:jc w:val="center"/>
              <w:rPr>
                <w:rFonts w:ascii="Arial" w:hAnsi="Arial" w:cs="Arial"/>
              </w:rPr>
            </w:pPr>
            <w:r w:rsidRPr="00E03FDE">
              <w:rPr>
                <w:rFonts w:ascii="Arial" w:hAnsi="Arial" w:cs="Arial"/>
              </w:rPr>
              <w:t>90%</w:t>
            </w:r>
          </w:p>
        </w:tc>
        <w:tc>
          <w:tcPr>
            <w:tcW w:w="6203" w:type="dxa"/>
            <w:shd w:val="clear" w:color="auto" w:fill="auto"/>
            <w:vAlign w:val="center"/>
          </w:tcPr>
          <w:p w14:paraId="7D1B0D47" w14:textId="4A53CF0E" w:rsidR="00050CC2" w:rsidRPr="0053129E" w:rsidRDefault="00610C11" w:rsidP="00822A6A">
            <w:pPr>
              <w:rPr>
                <w:rFonts w:ascii="Arial" w:hAnsi="Arial" w:cs="Arial"/>
              </w:rPr>
            </w:pPr>
            <w:r>
              <w:rPr>
                <w:rFonts w:ascii="Arial" w:hAnsi="Arial" w:cs="Arial"/>
              </w:rPr>
              <w:t>Q2 performance was affected by a dip in performance in July</w:t>
            </w:r>
            <w:r w:rsidR="00822A6A">
              <w:rPr>
                <w:rFonts w:ascii="Arial" w:hAnsi="Arial" w:cs="Arial"/>
              </w:rPr>
              <w:t xml:space="preserve"> </w:t>
            </w:r>
            <w:r w:rsidR="00822A6A" w:rsidRPr="00822A6A">
              <w:rPr>
                <w:rFonts w:ascii="Arial" w:hAnsi="Arial" w:cs="Arial"/>
              </w:rPr>
              <w:t>due to a temporary reduction in resource, this has been addressed and August and September were above target</w:t>
            </w:r>
            <w:r w:rsidR="00822A6A">
              <w:rPr>
                <w:rFonts w:ascii="Arial" w:hAnsi="Arial" w:cs="Arial"/>
              </w:rPr>
              <w:t>.</w:t>
            </w:r>
          </w:p>
        </w:tc>
      </w:tr>
      <w:tr w:rsidR="00050CC2" w:rsidRPr="002E7893" w14:paraId="4F5D7DED" w14:textId="77777777" w:rsidTr="00822A6A">
        <w:trPr>
          <w:trHeight w:val="712"/>
        </w:trPr>
        <w:tc>
          <w:tcPr>
            <w:tcW w:w="4104" w:type="dxa"/>
            <w:vAlign w:val="center"/>
          </w:tcPr>
          <w:p w14:paraId="1009AF20" w14:textId="3675C868" w:rsidR="00050CC2" w:rsidRPr="00E61E12" w:rsidRDefault="00050CC2" w:rsidP="00050CC2">
            <w:pPr>
              <w:rPr>
                <w:rFonts w:ascii="Arial" w:hAnsi="Arial" w:cs="Arial"/>
                <w:highlight w:val="lightGray"/>
              </w:rPr>
            </w:pPr>
            <w:r w:rsidRPr="00141839">
              <w:rPr>
                <w:rFonts w:ascii="Arial" w:eastAsia="Times New Roman" w:hAnsi="Arial" w:cs="Arial"/>
                <w:color w:val="000000"/>
                <w:lang w:eastAsia="en-GB"/>
              </w:rPr>
              <w:t>No. of housing units granted planning permission</w:t>
            </w:r>
          </w:p>
        </w:tc>
        <w:tc>
          <w:tcPr>
            <w:tcW w:w="1057" w:type="dxa"/>
            <w:vAlign w:val="center"/>
          </w:tcPr>
          <w:p w14:paraId="5E900968" w14:textId="3B933C62" w:rsidR="00050CC2" w:rsidRPr="0053129E" w:rsidRDefault="00050CC2" w:rsidP="00050CC2">
            <w:pPr>
              <w:jc w:val="center"/>
              <w:rPr>
                <w:rFonts w:ascii="Arial" w:hAnsi="Arial" w:cs="Arial"/>
              </w:rPr>
            </w:pPr>
            <w:r>
              <w:rPr>
                <w:rFonts w:ascii="Arial" w:hAnsi="Arial" w:cs="Arial"/>
              </w:rPr>
              <w:t>380</w:t>
            </w:r>
          </w:p>
        </w:tc>
        <w:tc>
          <w:tcPr>
            <w:tcW w:w="963" w:type="dxa"/>
            <w:shd w:val="clear" w:color="auto" w:fill="FFC000"/>
            <w:vAlign w:val="center"/>
          </w:tcPr>
          <w:p w14:paraId="56C5D01E" w14:textId="79DFB326" w:rsidR="00050CC2" w:rsidRPr="0053129E" w:rsidRDefault="00050CC2" w:rsidP="00050CC2">
            <w:pPr>
              <w:jc w:val="center"/>
              <w:rPr>
                <w:rFonts w:ascii="Arial" w:hAnsi="Arial" w:cs="Arial"/>
              </w:rPr>
            </w:pPr>
            <w:r>
              <w:rPr>
                <w:rFonts w:ascii="Arial" w:hAnsi="Arial" w:cs="Arial"/>
              </w:rPr>
              <w:t>65</w:t>
            </w:r>
          </w:p>
        </w:tc>
        <w:tc>
          <w:tcPr>
            <w:tcW w:w="963" w:type="dxa"/>
            <w:shd w:val="clear" w:color="auto" w:fill="92D050"/>
            <w:vAlign w:val="center"/>
          </w:tcPr>
          <w:p w14:paraId="1B5C76E2" w14:textId="3887BE13" w:rsidR="00050CC2" w:rsidRPr="00E00CE4" w:rsidRDefault="00610C11" w:rsidP="00050CC2">
            <w:pPr>
              <w:jc w:val="center"/>
              <w:rPr>
                <w:rFonts w:ascii="Arial" w:eastAsia="Wingdings 3" w:hAnsi="Arial" w:cs="Arial"/>
                <w:szCs w:val="21"/>
              </w:rPr>
            </w:pPr>
            <w:r>
              <w:rPr>
                <w:rFonts w:ascii="Arial" w:eastAsia="Wingdings 3" w:hAnsi="Arial" w:cs="Arial"/>
                <w:szCs w:val="21"/>
              </w:rPr>
              <w:t>93</w:t>
            </w:r>
          </w:p>
        </w:tc>
        <w:tc>
          <w:tcPr>
            <w:tcW w:w="956" w:type="dxa"/>
            <w:shd w:val="clear" w:color="auto" w:fill="auto"/>
            <w:vAlign w:val="center"/>
          </w:tcPr>
          <w:p w14:paraId="7DCDF9F8" w14:textId="15857339" w:rsidR="00050CC2" w:rsidRPr="00E00CE4" w:rsidRDefault="00610C11" w:rsidP="00050CC2">
            <w:pPr>
              <w:jc w:val="center"/>
              <w:rPr>
                <w:rFonts w:ascii="Arial" w:hAnsi="Arial" w:cs="Arial"/>
                <w:highlight w:val="yellow"/>
              </w:rPr>
            </w:pPr>
            <w:r w:rsidRPr="00610C11">
              <w:rPr>
                <w:rFonts w:ascii="Wingdings 3" w:eastAsia="Wingdings 3" w:hAnsi="Wingdings 3" w:cs="Wingdings 3"/>
                <w:sz w:val="32"/>
                <w:szCs w:val="21"/>
              </w:rPr>
              <w:t></w:t>
            </w:r>
          </w:p>
        </w:tc>
        <w:tc>
          <w:tcPr>
            <w:tcW w:w="1058" w:type="dxa"/>
            <w:shd w:val="clear" w:color="auto" w:fill="auto"/>
            <w:vAlign w:val="center"/>
          </w:tcPr>
          <w:p w14:paraId="61FB8E96" w14:textId="7DFF9E2C" w:rsidR="00050CC2" w:rsidRPr="0053129E" w:rsidRDefault="00610C11" w:rsidP="00050CC2">
            <w:pPr>
              <w:jc w:val="center"/>
              <w:rPr>
                <w:rFonts w:ascii="Arial" w:hAnsi="Arial" w:cs="Arial"/>
              </w:rPr>
            </w:pPr>
            <w:r>
              <w:rPr>
                <w:rFonts w:ascii="Arial" w:hAnsi="Arial" w:cs="Arial"/>
              </w:rPr>
              <w:t>84</w:t>
            </w:r>
          </w:p>
        </w:tc>
        <w:tc>
          <w:tcPr>
            <w:tcW w:w="6203" w:type="dxa"/>
            <w:shd w:val="clear" w:color="auto" w:fill="auto"/>
            <w:vAlign w:val="center"/>
          </w:tcPr>
          <w:p w14:paraId="0A99F520" w14:textId="05F36869" w:rsidR="00050CC2" w:rsidRPr="0053129E" w:rsidRDefault="00610C11" w:rsidP="00610C11">
            <w:pPr>
              <w:rPr>
                <w:rFonts w:ascii="Arial" w:hAnsi="Arial" w:cs="Arial"/>
              </w:rPr>
            </w:pPr>
            <w:r>
              <w:rPr>
                <w:rFonts w:ascii="Arial" w:hAnsi="Arial" w:cs="Arial"/>
              </w:rPr>
              <w:t xml:space="preserve">Higher than </w:t>
            </w:r>
            <w:r w:rsidR="00050CC2">
              <w:rPr>
                <w:rFonts w:ascii="Arial" w:hAnsi="Arial" w:cs="Arial"/>
              </w:rPr>
              <w:t xml:space="preserve">the previous quarter </w:t>
            </w:r>
            <w:r>
              <w:rPr>
                <w:rFonts w:ascii="Arial" w:hAnsi="Arial" w:cs="Arial"/>
              </w:rPr>
              <w:t xml:space="preserve">but lower than the </w:t>
            </w:r>
            <w:r w:rsidR="00050CC2">
              <w:rPr>
                <w:rFonts w:ascii="Arial" w:hAnsi="Arial" w:cs="Arial"/>
              </w:rPr>
              <w:t xml:space="preserve">same quarter in 2019/20.  </w:t>
            </w:r>
          </w:p>
        </w:tc>
      </w:tr>
      <w:tr w:rsidR="00050CC2" w:rsidRPr="002E7893" w14:paraId="319D609B" w14:textId="77777777" w:rsidTr="00610C11">
        <w:trPr>
          <w:trHeight w:val="2151"/>
        </w:trPr>
        <w:tc>
          <w:tcPr>
            <w:tcW w:w="4104" w:type="dxa"/>
            <w:vAlign w:val="center"/>
          </w:tcPr>
          <w:p w14:paraId="72BA6F3D" w14:textId="0651DC4C" w:rsidR="00050CC2" w:rsidRPr="00E61E12" w:rsidRDefault="00050CC2" w:rsidP="00050CC2">
            <w:pPr>
              <w:rPr>
                <w:rFonts w:ascii="Arial" w:hAnsi="Arial" w:cs="Arial"/>
                <w:highlight w:val="lightGray"/>
              </w:rPr>
            </w:pPr>
            <w:r w:rsidRPr="00141839">
              <w:rPr>
                <w:rFonts w:ascii="Arial" w:hAnsi="Arial" w:cs="Arial"/>
              </w:rPr>
              <w:t xml:space="preserve">Number of DFGs </w:t>
            </w:r>
            <w:r>
              <w:rPr>
                <w:rFonts w:ascii="Arial" w:hAnsi="Arial" w:cs="Arial"/>
              </w:rPr>
              <w:t>approved</w:t>
            </w:r>
          </w:p>
        </w:tc>
        <w:tc>
          <w:tcPr>
            <w:tcW w:w="1057" w:type="dxa"/>
            <w:vAlign w:val="center"/>
          </w:tcPr>
          <w:p w14:paraId="754A7E54" w14:textId="2642DE52" w:rsidR="00050CC2" w:rsidRPr="0053129E" w:rsidRDefault="00050CC2" w:rsidP="00050CC2">
            <w:pPr>
              <w:jc w:val="center"/>
              <w:rPr>
                <w:rFonts w:ascii="Arial" w:hAnsi="Arial" w:cs="Arial"/>
              </w:rPr>
            </w:pPr>
            <w:r>
              <w:rPr>
                <w:rFonts w:ascii="Arial" w:hAnsi="Arial" w:cs="Arial"/>
              </w:rPr>
              <w:t>162</w:t>
            </w:r>
          </w:p>
        </w:tc>
        <w:tc>
          <w:tcPr>
            <w:tcW w:w="963" w:type="dxa"/>
            <w:vAlign w:val="center"/>
          </w:tcPr>
          <w:p w14:paraId="45DD506E" w14:textId="1FFCED0E" w:rsidR="00050CC2" w:rsidRPr="0053129E" w:rsidRDefault="00610C11" w:rsidP="00050CC2">
            <w:pPr>
              <w:jc w:val="center"/>
              <w:rPr>
                <w:rFonts w:ascii="Arial" w:hAnsi="Arial" w:cs="Arial"/>
              </w:rPr>
            </w:pPr>
            <w:r>
              <w:rPr>
                <w:rFonts w:ascii="Arial" w:hAnsi="Arial" w:cs="Arial"/>
              </w:rPr>
              <w:t>19</w:t>
            </w:r>
          </w:p>
        </w:tc>
        <w:tc>
          <w:tcPr>
            <w:tcW w:w="963" w:type="dxa"/>
            <w:vAlign w:val="center"/>
          </w:tcPr>
          <w:p w14:paraId="0D83C996" w14:textId="4B1F7E0E" w:rsidR="00050CC2" w:rsidRPr="00E00CE4" w:rsidRDefault="00610C11" w:rsidP="00050CC2">
            <w:pPr>
              <w:jc w:val="center"/>
              <w:rPr>
                <w:rFonts w:ascii="Arial" w:eastAsia="Wingdings 3" w:hAnsi="Arial" w:cs="Arial"/>
                <w:szCs w:val="21"/>
              </w:rPr>
            </w:pPr>
            <w:r>
              <w:rPr>
                <w:rFonts w:ascii="Arial" w:eastAsia="Wingdings 3" w:hAnsi="Arial" w:cs="Arial"/>
                <w:szCs w:val="21"/>
              </w:rPr>
              <w:t>20</w:t>
            </w:r>
          </w:p>
        </w:tc>
        <w:tc>
          <w:tcPr>
            <w:tcW w:w="956" w:type="dxa"/>
            <w:vAlign w:val="center"/>
          </w:tcPr>
          <w:p w14:paraId="566365CD" w14:textId="0A541C51" w:rsidR="00050CC2" w:rsidRPr="00E00CE4" w:rsidRDefault="00610C11" w:rsidP="00050CC2">
            <w:pPr>
              <w:jc w:val="center"/>
              <w:rPr>
                <w:rFonts w:ascii="Arial" w:hAnsi="Arial" w:cs="Arial"/>
                <w:highlight w:val="yellow"/>
              </w:rPr>
            </w:pPr>
            <w:r w:rsidRPr="00610C11">
              <w:rPr>
                <w:rFonts w:ascii="Wingdings 3" w:eastAsia="Wingdings 3" w:hAnsi="Wingdings 3" w:cs="Wingdings 3"/>
                <w:sz w:val="32"/>
                <w:szCs w:val="21"/>
              </w:rPr>
              <w:t></w:t>
            </w:r>
          </w:p>
        </w:tc>
        <w:tc>
          <w:tcPr>
            <w:tcW w:w="1058" w:type="dxa"/>
            <w:vAlign w:val="center"/>
          </w:tcPr>
          <w:p w14:paraId="3E453B25" w14:textId="17270005" w:rsidR="00050CC2" w:rsidRPr="00507347" w:rsidRDefault="00050CC2" w:rsidP="00050CC2">
            <w:pPr>
              <w:jc w:val="center"/>
              <w:rPr>
                <w:rFonts w:ascii="Arial" w:hAnsi="Arial" w:cs="Arial"/>
                <w:sz w:val="21"/>
                <w:szCs w:val="21"/>
              </w:rPr>
            </w:pPr>
            <w:r w:rsidRPr="00507347">
              <w:rPr>
                <w:rFonts w:ascii="Arial" w:hAnsi="Arial" w:cs="Arial"/>
                <w:sz w:val="21"/>
                <w:szCs w:val="21"/>
              </w:rPr>
              <w:t>Increase through the year</w:t>
            </w:r>
          </w:p>
        </w:tc>
        <w:tc>
          <w:tcPr>
            <w:tcW w:w="6203" w:type="dxa"/>
            <w:vAlign w:val="center"/>
          </w:tcPr>
          <w:p w14:paraId="00FAD3D6" w14:textId="6B100B30" w:rsidR="00050CC2" w:rsidRPr="0053129E" w:rsidRDefault="00050CC2" w:rsidP="00050CC2">
            <w:pPr>
              <w:rPr>
                <w:rFonts w:ascii="Arial" w:hAnsi="Arial" w:cs="Arial"/>
              </w:rPr>
            </w:pPr>
            <w:r>
              <w:rPr>
                <w:rFonts w:ascii="Arial" w:hAnsi="Arial" w:cs="Arial"/>
              </w:rPr>
              <w:t>Referrals for adaptations have been significantly down due to the pandemic affecting the ability of Occupational Therapists to undertake assessments.  The pandemic has also posed significant challenges in terms of carrying out adaptation work in people’s homes.  The budget for disabled facilities grants can be carried over into next financial year, but the aim is still to maximise adaptations carried out this year as far as is feasible.</w:t>
            </w:r>
          </w:p>
        </w:tc>
      </w:tr>
    </w:tbl>
    <w:p w14:paraId="78B62AFE" w14:textId="77777777" w:rsidR="004909F0" w:rsidRDefault="004909F0" w:rsidP="004909F0"/>
    <w:p w14:paraId="7F9C46B6" w14:textId="77777777" w:rsidR="004909F0" w:rsidRDefault="004909F0" w:rsidP="004909F0">
      <w:pPr>
        <w:rPr>
          <w:rFonts w:ascii="Arial" w:hAnsi="Arial" w:cs="Arial"/>
          <w:bCs/>
          <w:sz w:val="24"/>
          <w:szCs w:val="24"/>
        </w:rPr>
      </w:pPr>
    </w:p>
    <w:p w14:paraId="2951AF60" w14:textId="77777777" w:rsidR="004909F0" w:rsidRDefault="004909F0" w:rsidP="004909F0">
      <w:pPr>
        <w:rPr>
          <w:rFonts w:ascii="Arial" w:hAnsi="Arial" w:cs="Arial"/>
          <w:sz w:val="24"/>
        </w:rPr>
      </w:pPr>
    </w:p>
    <w:p w14:paraId="19E206DC" w14:textId="3DC1C812" w:rsidR="00C564E3" w:rsidRDefault="004909F0" w:rsidP="004909F0">
      <w:pPr>
        <w:spacing w:after="0" w:line="240" w:lineRule="auto"/>
        <w:ind w:left="-360" w:right="-806"/>
        <w:rPr>
          <w:rFonts w:ascii="Arial" w:hAnsi="Arial" w:cs="Arial"/>
          <w:b/>
          <w:color w:val="4472C4" w:themeColor="accent5"/>
          <w:sz w:val="36"/>
          <w:szCs w:val="24"/>
        </w:rPr>
      </w:pPr>
      <w:r>
        <w:rPr>
          <w:rFonts w:ascii="Arial" w:hAnsi="Arial" w:cs="Arial"/>
          <w:sz w:val="24"/>
        </w:rPr>
        <w:br w:type="page"/>
      </w:r>
    </w:p>
    <w:p w14:paraId="26F8172E" w14:textId="77777777" w:rsidR="00FC4138" w:rsidRPr="000270FC" w:rsidRDefault="00FC4138" w:rsidP="000270FC">
      <w:pPr>
        <w:pStyle w:val="Heading1"/>
        <w:spacing w:after="160"/>
        <w:jc w:val="left"/>
        <w:rPr>
          <w:b/>
          <w:i w:val="0"/>
          <w:color w:val="6C4B94"/>
          <w:sz w:val="56"/>
          <w:szCs w:val="56"/>
        </w:rPr>
      </w:pPr>
      <w:r w:rsidRPr="000270FC">
        <w:rPr>
          <w:b/>
          <w:i w:val="0"/>
          <w:color w:val="6C4B94"/>
          <w:sz w:val="56"/>
          <w:szCs w:val="56"/>
        </w:rPr>
        <w:lastRenderedPageBreak/>
        <w:t xml:space="preserve">Resilient communities </w:t>
      </w:r>
    </w:p>
    <w:p w14:paraId="169DFF7A" w14:textId="77777777" w:rsidR="00FC4138" w:rsidRPr="00C86B8C" w:rsidRDefault="00FC4138" w:rsidP="00FC4138">
      <w:pPr>
        <w:spacing w:before="80"/>
        <w:ind w:left="34" w:right="-11"/>
        <w:rPr>
          <w:rFonts w:ascii="Arial" w:hAnsi="Arial" w:cs="Arial"/>
          <w:bCs/>
          <w:sz w:val="24"/>
          <w:szCs w:val="24"/>
        </w:rPr>
      </w:pPr>
      <w:r w:rsidRPr="00FC4138">
        <w:rPr>
          <w:rFonts w:ascii="Arial" w:hAnsi="Arial" w:cs="Arial"/>
          <w:b/>
          <w:bCs/>
          <w:sz w:val="24"/>
          <w:szCs w:val="20"/>
        </w:rPr>
        <w:t xml:space="preserve">Our objectives:  </w:t>
      </w:r>
      <w:r w:rsidRPr="00C86B8C">
        <w:rPr>
          <w:rFonts w:ascii="Arial" w:hAnsi="Arial" w:cs="Arial"/>
          <w:bCs/>
          <w:sz w:val="24"/>
          <w:szCs w:val="24"/>
        </w:rPr>
        <w:t>Pro</w:t>
      </w:r>
      <w:r>
        <w:rPr>
          <w:rFonts w:ascii="Arial" w:hAnsi="Arial" w:cs="Arial"/>
          <w:bCs/>
          <w:sz w:val="24"/>
          <w:szCs w:val="24"/>
        </w:rPr>
        <w:t>mote healthy, active lifestyles</w:t>
      </w:r>
      <w:r>
        <w:rPr>
          <w:rFonts w:ascii="Arial" w:hAnsi="Arial" w:cs="Arial"/>
          <w:sz w:val="24"/>
        </w:rPr>
        <w:t xml:space="preserve">  </w:t>
      </w:r>
      <w:r>
        <w:rPr>
          <w:rFonts w:ascii="Symbol" w:eastAsia="Symbol" w:hAnsi="Symbol" w:cs="Symbol"/>
          <w:bCs/>
          <w:sz w:val="24"/>
          <w:szCs w:val="26"/>
        </w:rPr>
        <w:t></w:t>
      </w:r>
      <w:r>
        <w:rPr>
          <w:rFonts w:ascii="Arial" w:hAnsi="Arial" w:cs="Arial"/>
          <w:sz w:val="24"/>
        </w:rPr>
        <w:t xml:space="preserve">  </w:t>
      </w:r>
      <w:r w:rsidRPr="00C86B8C">
        <w:rPr>
          <w:rFonts w:ascii="Arial" w:hAnsi="Arial" w:cs="Arial"/>
          <w:bCs/>
          <w:sz w:val="24"/>
          <w:szCs w:val="24"/>
        </w:rPr>
        <w:t>Address community safety issues</w:t>
      </w:r>
      <w:r>
        <w:rPr>
          <w:rFonts w:ascii="Arial" w:hAnsi="Arial" w:cs="Arial"/>
          <w:bCs/>
          <w:sz w:val="24"/>
          <w:szCs w:val="24"/>
        </w:rPr>
        <w:t xml:space="preserve">  </w:t>
      </w:r>
      <w:r>
        <w:rPr>
          <w:rFonts w:ascii="Symbol" w:eastAsia="Symbol" w:hAnsi="Symbol" w:cs="Symbol"/>
          <w:bCs/>
          <w:sz w:val="24"/>
          <w:szCs w:val="26"/>
        </w:rPr>
        <w:t></w:t>
      </w:r>
      <w:r>
        <w:rPr>
          <w:rFonts w:ascii="Arial" w:hAnsi="Arial" w:cs="Arial"/>
          <w:bCs/>
          <w:sz w:val="24"/>
          <w:szCs w:val="24"/>
        </w:rPr>
        <w:t xml:space="preserve">  En</w:t>
      </w:r>
      <w:r w:rsidRPr="00C86B8C">
        <w:rPr>
          <w:rFonts w:ascii="Arial" w:hAnsi="Arial" w:cs="Arial"/>
          <w:bCs/>
          <w:sz w:val="24"/>
          <w:szCs w:val="24"/>
        </w:rPr>
        <w:t>gage with our communities, and our town and parish councils</w:t>
      </w:r>
      <w:r>
        <w:rPr>
          <w:rFonts w:ascii="Arial" w:hAnsi="Arial" w:cs="Arial"/>
          <w:bCs/>
          <w:sz w:val="24"/>
          <w:szCs w:val="24"/>
        </w:rPr>
        <w:t xml:space="preserve">  </w:t>
      </w:r>
      <w:r>
        <w:rPr>
          <w:rFonts w:ascii="Symbol" w:eastAsia="Symbol" w:hAnsi="Symbol" w:cs="Symbol"/>
          <w:bCs/>
          <w:sz w:val="24"/>
          <w:szCs w:val="26"/>
        </w:rPr>
        <w:t></w:t>
      </w:r>
      <w:r>
        <w:rPr>
          <w:rFonts w:ascii="Arial" w:hAnsi="Arial" w:cs="Arial"/>
          <w:sz w:val="24"/>
        </w:rPr>
        <w:t xml:space="preserve">  </w:t>
      </w:r>
      <w:r w:rsidRPr="00C86B8C">
        <w:rPr>
          <w:rFonts w:ascii="Arial" w:hAnsi="Arial" w:cs="Arial"/>
          <w:bCs/>
          <w:sz w:val="24"/>
          <w:szCs w:val="24"/>
        </w:rPr>
        <w:t>Prevent and reduce homelessness</w:t>
      </w:r>
      <w:r>
        <w:rPr>
          <w:rFonts w:ascii="Arial" w:hAnsi="Arial" w:cs="Arial"/>
          <w:bCs/>
          <w:sz w:val="24"/>
          <w:szCs w:val="24"/>
        </w:rPr>
        <w:t xml:space="preserve">  </w:t>
      </w:r>
      <w:r>
        <w:rPr>
          <w:rFonts w:ascii="Symbol" w:eastAsia="Symbol" w:hAnsi="Symbol" w:cs="Symbol"/>
          <w:bCs/>
          <w:sz w:val="24"/>
          <w:szCs w:val="26"/>
        </w:rPr>
        <w:t></w:t>
      </w:r>
      <w:r>
        <w:rPr>
          <w:rFonts w:ascii="Arial" w:hAnsi="Arial" w:cs="Arial"/>
          <w:sz w:val="24"/>
        </w:rPr>
        <w:t xml:space="preserve">  </w:t>
      </w:r>
      <w:r w:rsidRPr="00C86B8C">
        <w:rPr>
          <w:rFonts w:ascii="Arial" w:hAnsi="Arial" w:cs="Arial"/>
          <w:bCs/>
          <w:sz w:val="24"/>
          <w:szCs w:val="24"/>
        </w:rPr>
        <w:t>Address inequalities</w:t>
      </w:r>
    </w:p>
    <w:tbl>
      <w:tblPr>
        <w:tblStyle w:val="TableGrid"/>
        <w:tblW w:w="15304" w:type="dxa"/>
        <w:tblLook w:val="04A0" w:firstRow="1" w:lastRow="0" w:firstColumn="1" w:lastColumn="0" w:noHBand="0" w:noVBand="1"/>
      </w:tblPr>
      <w:tblGrid>
        <w:gridCol w:w="3277"/>
        <w:gridCol w:w="1411"/>
        <w:gridCol w:w="1543"/>
        <w:gridCol w:w="864"/>
        <w:gridCol w:w="864"/>
        <w:gridCol w:w="7345"/>
      </w:tblGrid>
      <w:tr w:rsidR="00610C11" w:rsidRPr="00BF4D99" w14:paraId="0D2EC5F5" w14:textId="77777777" w:rsidTr="0D3AA324">
        <w:trPr>
          <w:tblHeader/>
        </w:trPr>
        <w:tc>
          <w:tcPr>
            <w:tcW w:w="3277" w:type="dxa"/>
            <w:shd w:val="clear" w:color="auto" w:fill="6C4B94"/>
          </w:tcPr>
          <w:p w14:paraId="1130F533" w14:textId="77777777" w:rsidR="00610C11" w:rsidRPr="00FC4138" w:rsidRDefault="00610C11" w:rsidP="004909F0">
            <w:pPr>
              <w:rPr>
                <w:rFonts w:ascii="Arial" w:hAnsi="Arial" w:cs="Arial"/>
                <w:b/>
                <w:color w:val="FFFFFF" w:themeColor="background1"/>
              </w:rPr>
            </w:pPr>
            <w:r w:rsidRPr="00FC4138">
              <w:rPr>
                <w:rFonts w:ascii="Arial" w:hAnsi="Arial" w:cs="Arial"/>
                <w:b/>
                <w:color w:val="FFFFFF" w:themeColor="background1"/>
              </w:rPr>
              <w:t>Key projects/activities</w:t>
            </w:r>
          </w:p>
        </w:tc>
        <w:tc>
          <w:tcPr>
            <w:tcW w:w="1411" w:type="dxa"/>
            <w:shd w:val="clear" w:color="auto" w:fill="6C4B94"/>
          </w:tcPr>
          <w:p w14:paraId="1E3B6957" w14:textId="77777777" w:rsidR="00610C11" w:rsidRPr="00FC4138" w:rsidRDefault="00610C11" w:rsidP="004909F0">
            <w:pPr>
              <w:rPr>
                <w:rFonts w:ascii="Arial" w:hAnsi="Arial" w:cs="Arial"/>
                <w:b/>
                <w:color w:val="FFFFFF" w:themeColor="background1"/>
              </w:rPr>
            </w:pPr>
            <w:r w:rsidRPr="00FC4138">
              <w:rPr>
                <w:rFonts w:ascii="Arial" w:hAnsi="Arial" w:cs="Arial"/>
                <w:b/>
                <w:color w:val="FFFFFF" w:themeColor="background1"/>
              </w:rPr>
              <w:t>Timescales</w:t>
            </w:r>
          </w:p>
        </w:tc>
        <w:tc>
          <w:tcPr>
            <w:tcW w:w="1543" w:type="dxa"/>
            <w:shd w:val="clear" w:color="auto" w:fill="6C4B94"/>
          </w:tcPr>
          <w:p w14:paraId="6844F0D7" w14:textId="77777777" w:rsidR="00610C11" w:rsidRPr="00FC4138" w:rsidRDefault="00610C11" w:rsidP="004909F0">
            <w:pPr>
              <w:rPr>
                <w:rFonts w:ascii="Arial" w:hAnsi="Arial" w:cs="Arial"/>
                <w:b/>
                <w:color w:val="FFFFFF" w:themeColor="background1"/>
              </w:rPr>
            </w:pPr>
            <w:r w:rsidRPr="00FC4138">
              <w:rPr>
                <w:rFonts w:ascii="Arial" w:hAnsi="Arial" w:cs="Arial"/>
                <w:b/>
                <w:color w:val="FFFFFF" w:themeColor="background1"/>
              </w:rPr>
              <w:t>Responsible Head of Service</w:t>
            </w:r>
          </w:p>
        </w:tc>
        <w:tc>
          <w:tcPr>
            <w:tcW w:w="864" w:type="dxa"/>
            <w:shd w:val="clear" w:color="auto" w:fill="6C4B94"/>
          </w:tcPr>
          <w:p w14:paraId="37D857D3" w14:textId="77777777" w:rsidR="00610C11" w:rsidRPr="00FC4138" w:rsidRDefault="00610C11" w:rsidP="004909F0">
            <w:pPr>
              <w:rPr>
                <w:rFonts w:ascii="Arial" w:hAnsi="Arial" w:cs="Arial"/>
                <w:b/>
                <w:color w:val="FFFFFF" w:themeColor="background1"/>
              </w:rPr>
            </w:pPr>
            <w:r w:rsidRPr="00FC4138">
              <w:rPr>
                <w:rFonts w:ascii="Arial" w:hAnsi="Arial" w:cs="Arial"/>
                <w:b/>
                <w:color w:val="FFFFFF" w:themeColor="background1"/>
              </w:rPr>
              <w:t>Q1 RAG status</w:t>
            </w:r>
            <w:r w:rsidRPr="00FC4138">
              <w:rPr>
                <w:rFonts w:ascii="Arial" w:hAnsi="Arial" w:cs="Arial"/>
                <w:b/>
                <w:color w:val="FFFFFF" w:themeColor="background1"/>
              </w:rPr>
              <w:tab/>
            </w:r>
          </w:p>
        </w:tc>
        <w:tc>
          <w:tcPr>
            <w:tcW w:w="864" w:type="dxa"/>
            <w:tcBorders>
              <w:bottom w:val="single" w:sz="4" w:space="0" w:color="auto"/>
            </w:tcBorders>
            <w:shd w:val="clear" w:color="auto" w:fill="6C4B94"/>
          </w:tcPr>
          <w:p w14:paraId="62103D75" w14:textId="41C7B1D6" w:rsidR="00610C11" w:rsidRPr="00FC4138" w:rsidRDefault="00610C11" w:rsidP="004909F0">
            <w:pPr>
              <w:rPr>
                <w:rFonts w:ascii="Arial" w:hAnsi="Arial" w:cs="Arial"/>
                <w:b/>
                <w:color w:val="FFFFFF" w:themeColor="background1"/>
              </w:rPr>
            </w:pPr>
            <w:r>
              <w:rPr>
                <w:rFonts w:ascii="Arial" w:hAnsi="Arial" w:cs="Arial"/>
                <w:b/>
                <w:color w:val="FFFFFF" w:themeColor="background1"/>
              </w:rPr>
              <w:t>Q2</w:t>
            </w:r>
            <w:r w:rsidRPr="00FC4138">
              <w:rPr>
                <w:rFonts w:ascii="Arial" w:hAnsi="Arial" w:cs="Arial"/>
                <w:b/>
                <w:color w:val="FFFFFF" w:themeColor="background1"/>
              </w:rPr>
              <w:t xml:space="preserve"> RAG status</w:t>
            </w:r>
          </w:p>
        </w:tc>
        <w:tc>
          <w:tcPr>
            <w:tcW w:w="7345" w:type="dxa"/>
            <w:tcBorders>
              <w:bottom w:val="single" w:sz="4" w:space="0" w:color="auto"/>
            </w:tcBorders>
            <w:shd w:val="clear" w:color="auto" w:fill="6C4B94"/>
          </w:tcPr>
          <w:p w14:paraId="01AE0CD4" w14:textId="5D29DBB6" w:rsidR="00610C11" w:rsidRPr="00FC4138" w:rsidRDefault="00610C11" w:rsidP="00610C11">
            <w:pPr>
              <w:rPr>
                <w:rFonts w:ascii="Arial" w:hAnsi="Arial" w:cs="Arial"/>
                <w:b/>
                <w:color w:val="FFFFFF" w:themeColor="background1"/>
              </w:rPr>
            </w:pPr>
            <w:r>
              <w:rPr>
                <w:rFonts w:ascii="Arial" w:hAnsi="Arial" w:cs="Arial"/>
                <w:b/>
                <w:color w:val="FFFFFF" w:themeColor="background1"/>
              </w:rPr>
              <w:t>C</w:t>
            </w:r>
            <w:r w:rsidRPr="00FC4138">
              <w:rPr>
                <w:rFonts w:ascii="Arial" w:hAnsi="Arial" w:cs="Arial"/>
                <w:b/>
                <w:color w:val="FFFFFF" w:themeColor="background1"/>
              </w:rPr>
              <w:t>ommentary (and management action where red/amber)</w:t>
            </w:r>
          </w:p>
        </w:tc>
      </w:tr>
      <w:tr w:rsidR="009A71BD" w14:paraId="2A9A17DF" w14:textId="77777777" w:rsidTr="0D3AA324">
        <w:trPr>
          <w:trHeight w:val="938"/>
        </w:trPr>
        <w:tc>
          <w:tcPr>
            <w:tcW w:w="3277" w:type="dxa"/>
            <w:vAlign w:val="center"/>
          </w:tcPr>
          <w:p w14:paraId="566D1089" w14:textId="2B279920" w:rsidR="009A71BD" w:rsidRPr="00733F7B" w:rsidRDefault="009A71BD" w:rsidP="009A71BD">
            <w:pPr>
              <w:rPr>
                <w:rFonts w:ascii="Arial" w:eastAsia="Times New Roman" w:hAnsi="Arial" w:cs="Arial"/>
                <w:color w:val="000000"/>
                <w:lang w:eastAsia="en-GB"/>
              </w:rPr>
            </w:pPr>
            <w:r w:rsidRPr="007501B8">
              <w:rPr>
                <w:rFonts w:ascii="Arial" w:hAnsi="Arial" w:cs="Arial"/>
                <w:b/>
              </w:rPr>
              <w:t>Work with GLL to plan for reopening and future operation of leisure centres</w:t>
            </w:r>
            <w:r>
              <w:rPr>
                <w:rFonts w:ascii="Arial" w:hAnsi="Arial" w:cs="Arial"/>
                <w:b/>
              </w:rPr>
              <w:t xml:space="preserve"> </w:t>
            </w:r>
            <w:r w:rsidRPr="00536140">
              <w:rPr>
                <w:rFonts w:ascii="Arial" w:hAnsi="Arial" w:cs="Arial"/>
              </w:rPr>
              <w:t>in</w:t>
            </w:r>
            <w:r>
              <w:rPr>
                <w:rFonts w:ascii="Arial" w:hAnsi="Arial" w:cs="Arial"/>
              </w:rPr>
              <w:t xml:space="preserve">cluding restarting the </w:t>
            </w:r>
            <w:r w:rsidRPr="00536140">
              <w:rPr>
                <w:rFonts w:ascii="Arial" w:hAnsi="Arial" w:cs="Arial"/>
              </w:rPr>
              <w:t>Healthwise S</w:t>
            </w:r>
            <w:r>
              <w:rPr>
                <w:rFonts w:ascii="Arial" w:hAnsi="Arial" w:cs="Arial"/>
              </w:rPr>
              <w:t>c</w:t>
            </w:r>
            <w:r w:rsidRPr="00536140">
              <w:rPr>
                <w:rFonts w:ascii="Arial" w:hAnsi="Arial" w:cs="Arial"/>
              </w:rPr>
              <w:t>heme to deliver exercise on referral</w:t>
            </w:r>
          </w:p>
        </w:tc>
        <w:tc>
          <w:tcPr>
            <w:tcW w:w="1411" w:type="dxa"/>
            <w:vAlign w:val="center"/>
          </w:tcPr>
          <w:p w14:paraId="31204202" w14:textId="292A31C6" w:rsidR="009A71BD" w:rsidRPr="00733F7B" w:rsidRDefault="009A71BD" w:rsidP="009A71BD">
            <w:pPr>
              <w:rPr>
                <w:rFonts w:ascii="Arial" w:hAnsi="Arial" w:cs="Arial"/>
              </w:rPr>
            </w:pPr>
            <w:r>
              <w:rPr>
                <w:rFonts w:ascii="Arial" w:hAnsi="Arial" w:cs="Arial"/>
              </w:rPr>
              <w:t>from June 2020</w:t>
            </w:r>
          </w:p>
        </w:tc>
        <w:tc>
          <w:tcPr>
            <w:tcW w:w="1543" w:type="dxa"/>
            <w:vAlign w:val="center"/>
          </w:tcPr>
          <w:p w14:paraId="3D912703" w14:textId="52C447E7" w:rsidR="009A71BD" w:rsidRDefault="009A71BD" w:rsidP="009A71BD">
            <w:pPr>
              <w:rPr>
                <w:rFonts w:ascii="Arial" w:hAnsi="Arial" w:cs="Arial"/>
              </w:rPr>
            </w:pPr>
            <w:r>
              <w:rPr>
                <w:rFonts w:ascii="Arial" w:hAnsi="Arial" w:cs="Arial"/>
              </w:rPr>
              <w:t>Finance and Property</w:t>
            </w:r>
          </w:p>
        </w:tc>
        <w:tc>
          <w:tcPr>
            <w:tcW w:w="864" w:type="dxa"/>
            <w:tcBorders>
              <w:top w:val="single" w:sz="4" w:space="0" w:color="auto"/>
              <w:left w:val="single" w:sz="4" w:space="0" w:color="auto"/>
              <w:bottom w:val="single" w:sz="4" w:space="0" w:color="auto"/>
              <w:right w:val="single" w:sz="4" w:space="0" w:color="auto"/>
            </w:tcBorders>
            <w:shd w:val="clear" w:color="auto" w:fill="92D050"/>
            <w:vAlign w:val="center"/>
          </w:tcPr>
          <w:p w14:paraId="0492613B" w14:textId="4AA42AC2" w:rsidR="009A71BD" w:rsidRDefault="009A71BD" w:rsidP="009A71BD">
            <w:pPr>
              <w:jc w:val="center"/>
              <w:rPr>
                <w:rFonts w:ascii="Arial" w:hAnsi="Arial" w:cs="Arial"/>
              </w:rPr>
            </w:pPr>
            <w:r>
              <w:rPr>
                <w:rFonts w:ascii="Arial" w:hAnsi="Arial" w:cs="Arial"/>
              </w:rPr>
              <w:t>G</w:t>
            </w:r>
          </w:p>
        </w:tc>
        <w:tc>
          <w:tcPr>
            <w:tcW w:w="864" w:type="dxa"/>
            <w:tcBorders>
              <w:top w:val="single" w:sz="4" w:space="0" w:color="auto"/>
              <w:left w:val="single" w:sz="4" w:space="0" w:color="auto"/>
              <w:bottom w:val="single" w:sz="4" w:space="0" w:color="auto"/>
              <w:right w:val="single" w:sz="4" w:space="0" w:color="auto"/>
            </w:tcBorders>
            <w:shd w:val="clear" w:color="auto" w:fill="92D050"/>
            <w:vAlign w:val="center"/>
          </w:tcPr>
          <w:p w14:paraId="60689189" w14:textId="702F22AD" w:rsidR="009A71BD" w:rsidRDefault="009A71BD" w:rsidP="009A71BD">
            <w:pPr>
              <w:jc w:val="center"/>
              <w:rPr>
                <w:rFonts w:ascii="Arial" w:hAnsi="Arial" w:cs="Arial"/>
              </w:rPr>
            </w:pPr>
            <w:r>
              <w:rPr>
                <w:rFonts w:ascii="Arial" w:hAnsi="Arial" w:cs="Arial"/>
              </w:rPr>
              <w:t>G</w:t>
            </w:r>
          </w:p>
        </w:tc>
        <w:tc>
          <w:tcPr>
            <w:tcW w:w="7345" w:type="dxa"/>
            <w:tcBorders>
              <w:top w:val="single" w:sz="4" w:space="0" w:color="auto"/>
              <w:left w:val="nil"/>
              <w:bottom w:val="single" w:sz="4" w:space="0" w:color="auto"/>
              <w:right w:val="single" w:sz="4" w:space="0" w:color="auto"/>
            </w:tcBorders>
            <w:shd w:val="clear" w:color="auto" w:fill="auto"/>
            <w:vAlign w:val="center"/>
          </w:tcPr>
          <w:p w14:paraId="7EA8BE51" w14:textId="5B52489F" w:rsidR="009A71BD" w:rsidRDefault="009A71BD" w:rsidP="009A71BD">
            <w:pPr>
              <w:rPr>
                <w:rFonts w:ascii="Arial" w:hAnsi="Arial" w:cs="Arial"/>
              </w:rPr>
            </w:pPr>
            <w:r>
              <w:rPr>
                <w:rFonts w:ascii="Arial" w:hAnsi="Arial" w:cs="Arial"/>
                <w:color w:val="000000"/>
              </w:rPr>
              <w:t xml:space="preserve">Both open centres are trading as expected as part of the Phase 1 opening, with members from Keswick and Maryport members also able to use either site. Workington centre is within the top 10 of GLL centres (200+ open) for membership retention and class occupancy, although users have dropped slightly since the rule of 6 came back in and reintroduction of some activities have been postponed. </w:t>
            </w:r>
          </w:p>
        </w:tc>
      </w:tr>
      <w:tr w:rsidR="009A71BD" w14:paraId="28882AA8" w14:textId="77777777" w:rsidTr="0D3AA324">
        <w:trPr>
          <w:trHeight w:val="1078"/>
        </w:trPr>
        <w:tc>
          <w:tcPr>
            <w:tcW w:w="3277" w:type="dxa"/>
            <w:vAlign w:val="center"/>
          </w:tcPr>
          <w:p w14:paraId="749295F5" w14:textId="4F0753FD" w:rsidR="009A71BD" w:rsidRPr="00215E6B" w:rsidRDefault="009A71BD" w:rsidP="009A71BD">
            <w:pPr>
              <w:rPr>
                <w:rFonts w:ascii="Arial" w:eastAsia="Times New Roman" w:hAnsi="Arial" w:cs="Arial"/>
                <w:color w:val="000000"/>
                <w:highlight w:val="lightGray"/>
                <w:lang w:eastAsia="en-GB"/>
              </w:rPr>
            </w:pPr>
            <w:r w:rsidRPr="007501B8">
              <w:rPr>
                <w:rFonts w:ascii="Arial" w:hAnsi="Arial" w:cs="Arial"/>
                <w:b/>
              </w:rPr>
              <w:t>Deliver a £140k grants pot to support sporting clubs and associations</w:t>
            </w:r>
            <w:r w:rsidRPr="004F77F6">
              <w:rPr>
                <w:rFonts w:ascii="Arial" w:hAnsi="Arial" w:cs="Arial"/>
              </w:rPr>
              <w:t xml:space="preserve"> to improve accessibility, participation and to support recovery from impacts of the Coronavirus pandemic</w:t>
            </w:r>
          </w:p>
        </w:tc>
        <w:tc>
          <w:tcPr>
            <w:tcW w:w="1411" w:type="dxa"/>
            <w:vAlign w:val="center"/>
          </w:tcPr>
          <w:p w14:paraId="368FD0F0" w14:textId="672E0067" w:rsidR="009A71BD" w:rsidRPr="00971DF5" w:rsidRDefault="009A71BD" w:rsidP="009A71BD">
            <w:pPr>
              <w:rPr>
                <w:rFonts w:ascii="Arial" w:hAnsi="Arial" w:cs="Arial"/>
              </w:rPr>
            </w:pPr>
            <w:r>
              <w:rPr>
                <w:rFonts w:ascii="Arial" w:hAnsi="Arial" w:cs="Arial"/>
              </w:rPr>
              <w:t>by March 2021</w:t>
            </w:r>
          </w:p>
        </w:tc>
        <w:tc>
          <w:tcPr>
            <w:tcW w:w="1543" w:type="dxa"/>
            <w:vAlign w:val="center"/>
          </w:tcPr>
          <w:p w14:paraId="464F679F" w14:textId="6AD2540B" w:rsidR="009A71BD" w:rsidRPr="00971DF5" w:rsidRDefault="009A71BD" w:rsidP="009A71BD">
            <w:pPr>
              <w:rPr>
                <w:rFonts w:ascii="Arial" w:hAnsi="Arial" w:cs="Arial"/>
              </w:rPr>
            </w:pPr>
            <w:r>
              <w:rPr>
                <w:rFonts w:ascii="Arial" w:hAnsi="Arial" w:cs="Arial"/>
              </w:rPr>
              <w:t>Finance and Property</w:t>
            </w:r>
          </w:p>
        </w:tc>
        <w:tc>
          <w:tcPr>
            <w:tcW w:w="864" w:type="dxa"/>
            <w:tcBorders>
              <w:top w:val="single" w:sz="4" w:space="0" w:color="auto"/>
              <w:left w:val="single" w:sz="4" w:space="0" w:color="auto"/>
              <w:bottom w:val="single" w:sz="4" w:space="0" w:color="auto"/>
              <w:right w:val="single" w:sz="4" w:space="0" w:color="auto"/>
            </w:tcBorders>
            <w:shd w:val="clear" w:color="auto" w:fill="92D050"/>
            <w:vAlign w:val="center"/>
          </w:tcPr>
          <w:p w14:paraId="6F470FD5" w14:textId="5462A0B2" w:rsidR="009A71BD" w:rsidRDefault="009A71BD" w:rsidP="009A71BD">
            <w:pPr>
              <w:jc w:val="center"/>
              <w:rPr>
                <w:rFonts w:ascii="Arial" w:hAnsi="Arial" w:cs="Arial"/>
              </w:rPr>
            </w:pPr>
            <w:r>
              <w:rPr>
                <w:rFonts w:ascii="Arial" w:hAnsi="Arial" w:cs="Arial"/>
              </w:rPr>
              <w:t>G</w:t>
            </w:r>
          </w:p>
        </w:tc>
        <w:tc>
          <w:tcPr>
            <w:tcW w:w="864" w:type="dxa"/>
            <w:tcBorders>
              <w:top w:val="single" w:sz="4" w:space="0" w:color="auto"/>
              <w:left w:val="single" w:sz="4" w:space="0" w:color="auto"/>
              <w:bottom w:val="single" w:sz="4" w:space="0" w:color="auto"/>
              <w:right w:val="single" w:sz="4" w:space="0" w:color="auto"/>
            </w:tcBorders>
            <w:shd w:val="clear" w:color="auto" w:fill="92D050"/>
            <w:vAlign w:val="center"/>
          </w:tcPr>
          <w:p w14:paraId="2F1D657A" w14:textId="7EB8ECAD" w:rsidR="009A71BD" w:rsidRDefault="009A71BD" w:rsidP="009A71BD">
            <w:pPr>
              <w:jc w:val="center"/>
              <w:rPr>
                <w:rFonts w:ascii="Arial" w:hAnsi="Arial" w:cs="Arial"/>
              </w:rPr>
            </w:pPr>
            <w:r>
              <w:rPr>
                <w:rFonts w:ascii="Arial" w:hAnsi="Arial" w:cs="Arial"/>
              </w:rPr>
              <w:t>G</w:t>
            </w:r>
          </w:p>
        </w:tc>
        <w:tc>
          <w:tcPr>
            <w:tcW w:w="7345" w:type="dxa"/>
            <w:tcBorders>
              <w:top w:val="nil"/>
              <w:left w:val="nil"/>
              <w:bottom w:val="single" w:sz="4" w:space="0" w:color="auto"/>
              <w:right w:val="single" w:sz="4" w:space="0" w:color="auto"/>
            </w:tcBorders>
            <w:shd w:val="clear" w:color="auto" w:fill="auto"/>
            <w:vAlign w:val="center"/>
          </w:tcPr>
          <w:p w14:paraId="14374CC0" w14:textId="658553F5" w:rsidR="009A71BD" w:rsidRDefault="009A71BD" w:rsidP="009A71BD">
            <w:pPr>
              <w:rPr>
                <w:rFonts w:ascii="Arial" w:hAnsi="Arial" w:cs="Arial"/>
              </w:rPr>
            </w:pPr>
            <w:r>
              <w:rPr>
                <w:rFonts w:ascii="Arial" w:hAnsi="Arial" w:cs="Arial"/>
                <w:color w:val="000000"/>
              </w:rPr>
              <w:t xml:space="preserve">Grant opened in August and a number of projects have been awarded funding. Over 50% of the budget has been committed. </w:t>
            </w:r>
          </w:p>
        </w:tc>
      </w:tr>
      <w:tr w:rsidR="009A71BD" w14:paraId="72ACE715" w14:textId="77777777" w:rsidTr="0D3AA324">
        <w:trPr>
          <w:trHeight w:val="2369"/>
        </w:trPr>
        <w:tc>
          <w:tcPr>
            <w:tcW w:w="3277" w:type="dxa"/>
            <w:vAlign w:val="center"/>
          </w:tcPr>
          <w:p w14:paraId="0AD93EC2" w14:textId="21EF2807" w:rsidR="009A71BD" w:rsidRPr="00E24403" w:rsidRDefault="009A71BD" w:rsidP="009A71BD">
            <w:pPr>
              <w:rPr>
                <w:rFonts w:ascii="Arial" w:eastAsia="Times New Roman" w:hAnsi="Arial" w:cs="Arial"/>
                <w:color w:val="000000"/>
                <w:lang w:eastAsia="en-GB"/>
              </w:rPr>
            </w:pPr>
            <w:r w:rsidRPr="007501B8">
              <w:rPr>
                <w:rFonts w:ascii="Arial" w:hAnsi="Arial" w:cs="Arial"/>
                <w:b/>
              </w:rPr>
              <w:t>Further develop the Allerdale Local Focus Hub</w:t>
            </w:r>
            <w:r>
              <w:rPr>
                <w:rFonts w:ascii="Arial" w:hAnsi="Arial" w:cs="Arial"/>
              </w:rPr>
              <w:t xml:space="preserve"> to drive a thriving families approach with existing and new partners including </w:t>
            </w:r>
            <w:r w:rsidRPr="004F77F6">
              <w:rPr>
                <w:rFonts w:ascii="Arial" w:hAnsi="Arial" w:cs="Arial"/>
              </w:rPr>
              <w:t>responding to the ongoing impact of lockdown and continued social distancing measures</w:t>
            </w:r>
            <w:r>
              <w:rPr>
                <w:rFonts w:ascii="Arial" w:hAnsi="Arial" w:cs="Arial"/>
              </w:rPr>
              <w:t>.</w:t>
            </w:r>
            <w:r w:rsidRPr="004F77F6">
              <w:rPr>
                <w:rFonts w:ascii="Arial" w:hAnsi="Arial" w:cs="Arial"/>
              </w:rPr>
              <w:t xml:space="preserve"> </w:t>
            </w:r>
          </w:p>
        </w:tc>
        <w:tc>
          <w:tcPr>
            <w:tcW w:w="1411" w:type="dxa"/>
            <w:vAlign w:val="center"/>
          </w:tcPr>
          <w:p w14:paraId="4B495624" w14:textId="6EDF5C19" w:rsidR="009A71BD" w:rsidRDefault="009A71BD" w:rsidP="009A71BD">
            <w:pPr>
              <w:rPr>
                <w:rFonts w:ascii="Arial" w:hAnsi="Arial" w:cs="Arial"/>
              </w:rPr>
            </w:pPr>
            <w:r>
              <w:rPr>
                <w:rFonts w:ascii="Arial" w:hAnsi="Arial" w:cs="Arial"/>
              </w:rPr>
              <w:t>from April 2020</w:t>
            </w:r>
          </w:p>
        </w:tc>
        <w:tc>
          <w:tcPr>
            <w:tcW w:w="1543" w:type="dxa"/>
            <w:vAlign w:val="center"/>
          </w:tcPr>
          <w:p w14:paraId="577A8FB9" w14:textId="09DD16D5" w:rsidR="009A71BD" w:rsidRDefault="009A71BD" w:rsidP="009A71BD">
            <w:pPr>
              <w:rPr>
                <w:rFonts w:ascii="Arial" w:hAnsi="Arial" w:cs="Arial"/>
              </w:rPr>
            </w:pPr>
            <w:r>
              <w:rPr>
                <w:rFonts w:ascii="Arial" w:hAnsi="Arial" w:cs="Arial"/>
              </w:rPr>
              <w:t>Governance and Regulatory Services</w:t>
            </w:r>
          </w:p>
        </w:tc>
        <w:tc>
          <w:tcPr>
            <w:tcW w:w="864" w:type="dxa"/>
            <w:tcBorders>
              <w:top w:val="single" w:sz="4" w:space="0" w:color="auto"/>
              <w:left w:val="single" w:sz="4" w:space="0" w:color="auto"/>
              <w:bottom w:val="single" w:sz="4" w:space="0" w:color="auto"/>
              <w:right w:val="single" w:sz="4" w:space="0" w:color="auto"/>
            </w:tcBorders>
            <w:shd w:val="clear" w:color="auto" w:fill="92D050"/>
            <w:vAlign w:val="center"/>
          </w:tcPr>
          <w:p w14:paraId="13E89496" w14:textId="47851952" w:rsidR="009A71BD" w:rsidRDefault="009A71BD" w:rsidP="009A71BD">
            <w:pPr>
              <w:jc w:val="center"/>
              <w:rPr>
                <w:rFonts w:ascii="Arial" w:hAnsi="Arial" w:cs="Arial"/>
              </w:rPr>
            </w:pPr>
            <w:r>
              <w:rPr>
                <w:rFonts w:ascii="Arial" w:hAnsi="Arial" w:cs="Arial"/>
              </w:rPr>
              <w:t>G</w:t>
            </w:r>
          </w:p>
        </w:tc>
        <w:tc>
          <w:tcPr>
            <w:tcW w:w="864" w:type="dxa"/>
            <w:tcBorders>
              <w:top w:val="single" w:sz="4" w:space="0" w:color="auto"/>
              <w:left w:val="single" w:sz="4" w:space="0" w:color="auto"/>
              <w:bottom w:val="single" w:sz="4" w:space="0" w:color="auto"/>
              <w:right w:val="single" w:sz="4" w:space="0" w:color="auto"/>
            </w:tcBorders>
            <w:shd w:val="clear" w:color="auto" w:fill="92D050"/>
            <w:vAlign w:val="center"/>
          </w:tcPr>
          <w:p w14:paraId="4948E506" w14:textId="57445B43" w:rsidR="009A71BD" w:rsidRDefault="009A71BD" w:rsidP="009A71BD">
            <w:pPr>
              <w:jc w:val="center"/>
              <w:rPr>
                <w:rFonts w:ascii="Arial" w:hAnsi="Arial" w:cs="Arial"/>
              </w:rPr>
            </w:pPr>
            <w:r>
              <w:rPr>
                <w:rFonts w:ascii="Arial" w:hAnsi="Arial" w:cs="Arial"/>
              </w:rPr>
              <w:t>G</w:t>
            </w:r>
          </w:p>
        </w:tc>
        <w:tc>
          <w:tcPr>
            <w:tcW w:w="7345" w:type="dxa"/>
            <w:tcBorders>
              <w:top w:val="nil"/>
              <w:left w:val="nil"/>
              <w:bottom w:val="single" w:sz="4" w:space="0" w:color="auto"/>
              <w:right w:val="single" w:sz="4" w:space="0" w:color="auto"/>
            </w:tcBorders>
            <w:shd w:val="clear" w:color="auto" w:fill="auto"/>
            <w:vAlign w:val="center"/>
          </w:tcPr>
          <w:p w14:paraId="5C98F2F1" w14:textId="1FC4D247" w:rsidR="009A71BD" w:rsidRDefault="009A71BD" w:rsidP="009A71BD">
            <w:pPr>
              <w:rPr>
                <w:rFonts w:ascii="Arial" w:hAnsi="Arial" w:cs="Arial"/>
              </w:rPr>
            </w:pPr>
            <w:r>
              <w:rPr>
                <w:rFonts w:ascii="Arial" w:hAnsi="Arial" w:cs="Arial"/>
                <w:color w:val="000000"/>
              </w:rPr>
              <w:t>LFH Manager is now in post to further develop the partnership model. The multi-agency enforcement team meet weekly to review and monitor Covid</w:t>
            </w:r>
            <w:r w:rsidR="00E23BA1">
              <w:rPr>
                <w:rFonts w:ascii="Arial" w:hAnsi="Arial" w:cs="Arial"/>
                <w:color w:val="000000"/>
              </w:rPr>
              <w:t>-19</w:t>
            </w:r>
            <w:r>
              <w:rPr>
                <w:rFonts w:ascii="Arial" w:hAnsi="Arial" w:cs="Arial"/>
                <w:color w:val="000000"/>
              </w:rPr>
              <w:t xml:space="preserve"> enforcement activity, joint premises visits are taking places in hotspot locations between Allerdale BC and Police. Referral activity is now fully operational and the 'Hub' reopened for Police and Allerdale staff on 5/10/20.</w:t>
            </w:r>
          </w:p>
        </w:tc>
      </w:tr>
      <w:tr w:rsidR="009A71BD" w14:paraId="453B6930" w14:textId="77777777" w:rsidTr="0D3AA324">
        <w:trPr>
          <w:trHeight w:val="2086"/>
        </w:trPr>
        <w:tc>
          <w:tcPr>
            <w:tcW w:w="3277" w:type="dxa"/>
            <w:vAlign w:val="center"/>
          </w:tcPr>
          <w:p w14:paraId="2B17CF6B" w14:textId="01C1A4A7" w:rsidR="009A71BD" w:rsidRPr="00733F7B" w:rsidRDefault="009A71BD" w:rsidP="009A71BD">
            <w:pPr>
              <w:rPr>
                <w:rFonts w:ascii="Arial" w:eastAsia="Times New Roman" w:hAnsi="Arial" w:cs="Arial"/>
                <w:color w:val="000000"/>
                <w:lang w:eastAsia="en-GB"/>
              </w:rPr>
            </w:pPr>
            <w:r w:rsidRPr="0046545C">
              <w:rPr>
                <w:rFonts w:ascii="Arial" w:hAnsi="Arial" w:cs="Arial"/>
                <w:b/>
              </w:rPr>
              <w:lastRenderedPageBreak/>
              <w:t>Provide advice and guidance, along with undertaking investigation and enforcement activity</w:t>
            </w:r>
            <w:r>
              <w:rPr>
                <w:rFonts w:ascii="Arial" w:hAnsi="Arial" w:cs="Arial"/>
                <w:b/>
              </w:rPr>
              <w:t>,</w:t>
            </w:r>
            <w:r w:rsidRPr="0046545C">
              <w:rPr>
                <w:rFonts w:ascii="Arial" w:hAnsi="Arial" w:cs="Arial"/>
                <w:b/>
              </w:rPr>
              <w:t xml:space="preserve"> to support Covid-19 restrictions on businesses</w:t>
            </w:r>
            <w:r w:rsidRPr="0046545C">
              <w:rPr>
                <w:rFonts w:ascii="Arial" w:hAnsi="Arial" w:cs="Arial"/>
              </w:rPr>
              <w:t xml:space="preserve"> </w:t>
            </w:r>
            <w:r>
              <w:rPr>
                <w:rFonts w:ascii="Arial" w:hAnsi="Arial" w:cs="Arial"/>
              </w:rPr>
              <w:t>and</w:t>
            </w:r>
            <w:r w:rsidRPr="0046545C">
              <w:rPr>
                <w:rFonts w:ascii="Arial" w:hAnsi="Arial" w:cs="Arial"/>
              </w:rPr>
              <w:t xml:space="preserve"> help them provide safe environments.</w:t>
            </w:r>
          </w:p>
        </w:tc>
        <w:tc>
          <w:tcPr>
            <w:tcW w:w="1411" w:type="dxa"/>
            <w:vAlign w:val="center"/>
          </w:tcPr>
          <w:p w14:paraId="4B7CF497" w14:textId="7CD641C7" w:rsidR="009A71BD" w:rsidRPr="00215E6B" w:rsidRDefault="009A71BD" w:rsidP="009A71BD">
            <w:pPr>
              <w:rPr>
                <w:rFonts w:ascii="Arial" w:hAnsi="Arial" w:cs="Arial"/>
                <w:highlight w:val="lightGray"/>
              </w:rPr>
            </w:pPr>
            <w:r w:rsidRPr="0046545C">
              <w:rPr>
                <w:rFonts w:ascii="Arial" w:hAnsi="Arial" w:cs="Arial"/>
              </w:rPr>
              <w:t>from April 2020</w:t>
            </w:r>
          </w:p>
        </w:tc>
        <w:tc>
          <w:tcPr>
            <w:tcW w:w="1543" w:type="dxa"/>
            <w:vAlign w:val="center"/>
          </w:tcPr>
          <w:p w14:paraId="13C031F4" w14:textId="42A66874" w:rsidR="009A71BD" w:rsidRPr="00215E6B" w:rsidRDefault="009A71BD" w:rsidP="009A71BD">
            <w:pPr>
              <w:rPr>
                <w:rFonts w:ascii="Arial" w:hAnsi="Arial" w:cs="Arial"/>
                <w:highlight w:val="lightGray"/>
              </w:rPr>
            </w:pPr>
            <w:r w:rsidRPr="0046545C">
              <w:rPr>
                <w:rFonts w:ascii="Arial" w:hAnsi="Arial" w:cs="Arial"/>
              </w:rPr>
              <w:t>Governance and Regulatory Services</w:t>
            </w:r>
          </w:p>
        </w:tc>
        <w:tc>
          <w:tcPr>
            <w:tcW w:w="864" w:type="dxa"/>
            <w:tcBorders>
              <w:top w:val="single" w:sz="4" w:space="0" w:color="auto"/>
              <w:left w:val="single" w:sz="4" w:space="0" w:color="auto"/>
              <w:bottom w:val="single" w:sz="4" w:space="0" w:color="auto"/>
              <w:right w:val="single" w:sz="4" w:space="0" w:color="auto"/>
            </w:tcBorders>
            <w:shd w:val="clear" w:color="auto" w:fill="92D050"/>
            <w:vAlign w:val="center"/>
          </w:tcPr>
          <w:p w14:paraId="4F492319" w14:textId="4037AC9E" w:rsidR="009A71BD" w:rsidRDefault="009A71BD" w:rsidP="009A71BD">
            <w:pPr>
              <w:jc w:val="center"/>
              <w:rPr>
                <w:rFonts w:ascii="Arial" w:hAnsi="Arial" w:cs="Arial"/>
              </w:rPr>
            </w:pPr>
            <w:r>
              <w:rPr>
                <w:rFonts w:ascii="Arial" w:hAnsi="Arial" w:cs="Arial"/>
              </w:rPr>
              <w:t>G</w:t>
            </w:r>
          </w:p>
        </w:tc>
        <w:tc>
          <w:tcPr>
            <w:tcW w:w="864" w:type="dxa"/>
            <w:tcBorders>
              <w:top w:val="single" w:sz="4" w:space="0" w:color="auto"/>
              <w:left w:val="single" w:sz="4" w:space="0" w:color="auto"/>
              <w:bottom w:val="single" w:sz="4" w:space="0" w:color="auto"/>
              <w:right w:val="single" w:sz="4" w:space="0" w:color="auto"/>
            </w:tcBorders>
            <w:shd w:val="clear" w:color="auto" w:fill="92D050"/>
            <w:vAlign w:val="center"/>
          </w:tcPr>
          <w:p w14:paraId="38BA8E28" w14:textId="397B98DB" w:rsidR="009A71BD" w:rsidRDefault="009A71BD" w:rsidP="009A71BD">
            <w:pPr>
              <w:jc w:val="center"/>
              <w:rPr>
                <w:rFonts w:ascii="Arial" w:hAnsi="Arial" w:cs="Arial"/>
              </w:rPr>
            </w:pPr>
            <w:r>
              <w:rPr>
                <w:rFonts w:ascii="Arial" w:hAnsi="Arial" w:cs="Arial"/>
              </w:rPr>
              <w:t>G</w:t>
            </w:r>
          </w:p>
        </w:tc>
        <w:tc>
          <w:tcPr>
            <w:tcW w:w="7345" w:type="dxa"/>
            <w:tcBorders>
              <w:top w:val="nil"/>
              <w:left w:val="nil"/>
              <w:bottom w:val="single" w:sz="4" w:space="0" w:color="auto"/>
              <w:right w:val="single" w:sz="4" w:space="0" w:color="auto"/>
            </w:tcBorders>
            <w:shd w:val="clear" w:color="auto" w:fill="auto"/>
            <w:vAlign w:val="center"/>
          </w:tcPr>
          <w:p w14:paraId="43D45E88" w14:textId="55A3EC3D" w:rsidR="009A71BD" w:rsidRDefault="009A71BD" w:rsidP="009A71BD">
            <w:pPr>
              <w:rPr>
                <w:rFonts w:ascii="Arial" w:hAnsi="Arial" w:cs="Arial"/>
              </w:rPr>
            </w:pPr>
            <w:r>
              <w:rPr>
                <w:rFonts w:ascii="Arial" w:hAnsi="Arial" w:cs="Arial"/>
                <w:color w:val="000000"/>
              </w:rPr>
              <w:t xml:space="preserve">Continue to support businesses by providing advice and guidance via visits, email, telephone calls and by post. This support is enhanced through street walks and spot checks. The support is mainly around helping businesses understand and implement the rapidly changing legislation and guidance and dealing with complaints around Covid-19. While education and engage forms the majority of the work, enforcement action will be considered and taken when businesses refuse to act on the advice and guidance given. </w:t>
            </w:r>
          </w:p>
        </w:tc>
      </w:tr>
      <w:tr w:rsidR="009A71BD" w14:paraId="000ADCF0" w14:textId="77777777" w:rsidTr="0D3AA324">
        <w:trPr>
          <w:trHeight w:val="1959"/>
        </w:trPr>
        <w:tc>
          <w:tcPr>
            <w:tcW w:w="3277" w:type="dxa"/>
            <w:vAlign w:val="center"/>
          </w:tcPr>
          <w:p w14:paraId="46077EDF" w14:textId="05020FF9" w:rsidR="009A71BD" w:rsidRPr="00733F7B" w:rsidRDefault="009A71BD" w:rsidP="009A71BD">
            <w:pPr>
              <w:rPr>
                <w:rFonts w:ascii="Arial" w:eastAsia="Times New Roman" w:hAnsi="Arial" w:cs="Arial"/>
                <w:color w:val="000000"/>
                <w:lang w:eastAsia="en-GB"/>
              </w:rPr>
            </w:pPr>
            <w:r w:rsidRPr="007501B8">
              <w:rPr>
                <w:rFonts w:ascii="Arial" w:hAnsi="Arial" w:cs="Arial"/>
                <w:b/>
              </w:rPr>
              <w:t xml:space="preserve">Undertake </w:t>
            </w:r>
            <w:r>
              <w:rPr>
                <w:rFonts w:ascii="Arial" w:hAnsi="Arial" w:cs="Arial"/>
                <w:b/>
              </w:rPr>
              <w:t xml:space="preserve">test </w:t>
            </w:r>
            <w:r w:rsidRPr="007501B8">
              <w:rPr>
                <w:rFonts w:ascii="Arial" w:hAnsi="Arial" w:cs="Arial"/>
                <w:b/>
              </w:rPr>
              <w:t>and trace activity</w:t>
            </w:r>
            <w:r w:rsidRPr="004F77F6">
              <w:rPr>
                <w:rFonts w:ascii="Arial" w:hAnsi="Arial" w:cs="Arial"/>
              </w:rPr>
              <w:t xml:space="preserve"> in partners</w:t>
            </w:r>
            <w:r>
              <w:rPr>
                <w:rFonts w:ascii="Arial" w:hAnsi="Arial" w:cs="Arial"/>
              </w:rPr>
              <w:t>hip with Cumbria County Council.</w:t>
            </w:r>
          </w:p>
        </w:tc>
        <w:tc>
          <w:tcPr>
            <w:tcW w:w="1411" w:type="dxa"/>
            <w:vAlign w:val="center"/>
          </w:tcPr>
          <w:p w14:paraId="289B10FF" w14:textId="3B2B712A" w:rsidR="009A71BD" w:rsidRPr="00215E6B" w:rsidRDefault="009A71BD" w:rsidP="009A71BD">
            <w:pPr>
              <w:rPr>
                <w:rFonts w:ascii="Arial" w:hAnsi="Arial" w:cs="Arial"/>
                <w:highlight w:val="lightGray"/>
              </w:rPr>
            </w:pPr>
            <w:r>
              <w:rPr>
                <w:rFonts w:ascii="Arial" w:hAnsi="Arial" w:cs="Arial"/>
              </w:rPr>
              <w:t>from June 2020</w:t>
            </w:r>
          </w:p>
        </w:tc>
        <w:tc>
          <w:tcPr>
            <w:tcW w:w="1543" w:type="dxa"/>
            <w:vAlign w:val="center"/>
          </w:tcPr>
          <w:p w14:paraId="5FE7D443" w14:textId="0FBFC301" w:rsidR="009A71BD" w:rsidRPr="00215E6B" w:rsidRDefault="2978E8D9" w:rsidP="0D3AA324">
            <w:pPr>
              <w:spacing w:line="259" w:lineRule="auto"/>
            </w:pPr>
            <w:r w:rsidRPr="0D3AA324">
              <w:rPr>
                <w:rFonts w:ascii="Arial" w:hAnsi="Arial" w:cs="Arial"/>
              </w:rPr>
              <w:t>Programme Director (Maryport)</w:t>
            </w:r>
          </w:p>
        </w:tc>
        <w:tc>
          <w:tcPr>
            <w:tcW w:w="864" w:type="dxa"/>
            <w:tcBorders>
              <w:top w:val="single" w:sz="4" w:space="0" w:color="auto"/>
              <w:left w:val="single" w:sz="4" w:space="0" w:color="auto"/>
              <w:bottom w:val="single" w:sz="4" w:space="0" w:color="auto"/>
              <w:right w:val="single" w:sz="4" w:space="0" w:color="auto"/>
            </w:tcBorders>
            <w:shd w:val="clear" w:color="auto" w:fill="92D050"/>
            <w:vAlign w:val="center"/>
          </w:tcPr>
          <w:p w14:paraId="5BC6EF12" w14:textId="3D422AE5" w:rsidR="009A71BD" w:rsidRDefault="009A71BD" w:rsidP="009A71BD">
            <w:pPr>
              <w:jc w:val="center"/>
              <w:rPr>
                <w:rFonts w:ascii="Arial" w:hAnsi="Arial" w:cs="Arial"/>
              </w:rPr>
            </w:pPr>
            <w:r>
              <w:rPr>
                <w:rFonts w:ascii="Arial" w:hAnsi="Arial" w:cs="Arial"/>
              </w:rPr>
              <w:t>G</w:t>
            </w:r>
          </w:p>
        </w:tc>
        <w:tc>
          <w:tcPr>
            <w:tcW w:w="864" w:type="dxa"/>
            <w:tcBorders>
              <w:top w:val="single" w:sz="4" w:space="0" w:color="auto"/>
              <w:left w:val="single" w:sz="4" w:space="0" w:color="auto"/>
              <w:bottom w:val="single" w:sz="4" w:space="0" w:color="auto"/>
              <w:right w:val="single" w:sz="4" w:space="0" w:color="auto"/>
            </w:tcBorders>
            <w:shd w:val="clear" w:color="auto" w:fill="92D050"/>
            <w:vAlign w:val="center"/>
          </w:tcPr>
          <w:p w14:paraId="15B35DE4" w14:textId="0CAAC278" w:rsidR="009A71BD" w:rsidRDefault="009A71BD" w:rsidP="009A71BD">
            <w:pPr>
              <w:jc w:val="center"/>
              <w:rPr>
                <w:rFonts w:ascii="Arial" w:hAnsi="Arial" w:cs="Arial"/>
              </w:rPr>
            </w:pPr>
            <w:r>
              <w:rPr>
                <w:rFonts w:ascii="Arial" w:hAnsi="Arial" w:cs="Arial"/>
              </w:rPr>
              <w:t>G</w:t>
            </w:r>
          </w:p>
        </w:tc>
        <w:tc>
          <w:tcPr>
            <w:tcW w:w="7345" w:type="dxa"/>
            <w:tcBorders>
              <w:top w:val="nil"/>
              <w:left w:val="nil"/>
              <w:bottom w:val="single" w:sz="4" w:space="0" w:color="auto"/>
              <w:right w:val="single" w:sz="4" w:space="0" w:color="auto"/>
            </w:tcBorders>
            <w:shd w:val="clear" w:color="auto" w:fill="auto"/>
            <w:vAlign w:val="center"/>
          </w:tcPr>
          <w:p w14:paraId="79CE727B" w14:textId="58A304BF" w:rsidR="009A71BD" w:rsidRDefault="009A71BD" w:rsidP="009A71BD">
            <w:pPr>
              <w:rPr>
                <w:rFonts w:ascii="Arial" w:hAnsi="Arial" w:cs="Arial"/>
              </w:rPr>
            </w:pPr>
            <w:r>
              <w:rPr>
                <w:rFonts w:ascii="Arial" w:hAnsi="Arial" w:cs="Arial"/>
                <w:color w:val="000000"/>
              </w:rPr>
              <w:t xml:space="preserve">As the national lockdown restrictions lifted, the number of positive Covid-19 cases in Allerdale has increased. The team play a vital role in local contact tracing, providing support and advice to positive cases and to businesses where cases are employed or have visited. There have been a number of outbreaks over the past few weeks and the Track and Trace team have been </w:t>
            </w:r>
            <w:r w:rsidR="00F211E4">
              <w:rPr>
                <w:rFonts w:ascii="Arial" w:hAnsi="Arial" w:cs="Arial"/>
                <w:color w:val="000000"/>
              </w:rPr>
              <w:t>heavily</w:t>
            </w:r>
            <w:r>
              <w:rPr>
                <w:rFonts w:ascii="Arial" w:hAnsi="Arial" w:cs="Arial"/>
                <w:color w:val="000000"/>
              </w:rPr>
              <w:t xml:space="preserve"> involved with these to prevent the spread of the virus.  </w:t>
            </w:r>
          </w:p>
        </w:tc>
      </w:tr>
      <w:tr w:rsidR="009A71BD" w14:paraId="5E255970" w14:textId="77777777" w:rsidTr="0D3AA324">
        <w:trPr>
          <w:trHeight w:val="934"/>
        </w:trPr>
        <w:tc>
          <w:tcPr>
            <w:tcW w:w="3277" w:type="dxa"/>
            <w:vAlign w:val="center"/>
          </w:tcPr>
          <w:p w14:paraId="07ED824B" w14:textId="04D1FA3D" w:rsidR="009A71BD" w:rsidRPr="00733F7B" w:rsidRDefault="009A71BD" w:rsidP="009A71BD">
            <w:pPr>
              <w:rPr>
                <w:rFonts w:ascii="Arial" w:eastAsia="Times New Roman" w:hAnsi="Arial" w:cs="Arial"/>
                <w:color w:val="000000"/>
                <w:lang w:eastAsia="en-GB"/>
              </w:rPr>
            </w:pPr>
            <w:r w:rsidRPr="007501B8">
              <w:rPr>
                <w:rFonts w:ascii="Arial" w:hAnsi="Arial" w:cs="Arial"/>
                <w:b/>
              </w:rPr>
              <w:t>Develop a Resilient Communities Strategy</w:t>
            </w:r>
            <w:r w:rsidRPr="004F77F6">
              <w:rPr>
                <w:rFonts w:ascii="Arial" w:hAnsi="Arial" w:cs="Arial"/>
              </w:rPr>
              <w:t xml:space="preserve"> setting out how we can support communities across the district as we move out of the current restrictions and into recovery.</w:t>
            </w:r>
          </w:p>
        </w:tc>
        <w:tc>
          <w:tcPr>
            <w:tcW w:w="1411" w:type="dxa"/>
            <w:vAlign w:val="center"/>
          </w:tcPr>
          <w:p w14:paraId="3DAC269A" w14:textId="2FFA26A8" w:rsidR="009A71BD" w:rsidRPr="00215E6B" w:rsidRDefault="009A71BD" w:rsidP="009A71BD">
            <w:pPr>
              <w:rPr>
                <w:rFonts w:ascii="Arial" w:hAnsi="Arial" w:cs="Arial"/>
                <w:highlight w:val="lightGray"/>
              </w:rPr>
            </w:pPr>
            <w:r>
              <w:rPr>
                <w:rFonts w:ascii="Arial" w:hAnsi="Arial" w:cs="Arial"/>
              </w:rPr>
              <w:t>by Aug 2020</w:t>
            </w:r>
          </w:p>
        </w:tc>
        <w:tc>
          <w:tcPr>
            <w:tcW w:w="1543" w:type="dxa"/>
            <w:vAlign w:val="center"/>
          </w:tcPr>
          <w:p w14:paraId="1051B3FF" w14:textId="2AA9C968" w:rsidR="009A71BD" w:rsidRPr="00215E6B" w:rsidRDefault="009A71BD" w:rsidP="009A71BD">
            <w:pPr>
              <w:rPr>
                <w:rFonts w:ascii="Arial" w:hAnsi="Arial" w:cs="Arial"/>
                <w:highlight w:val="lightGray"/>
              </w:rPr>
            </w:pPr>
            <w:r>
              <w:rPr>
                <w:rFonts w:ascii="Arial" w:hAnsi="Arial" w:cs="Arial"/>
              </w:rPr>
              <w:t>Strategy, Policy and Performance</w:t>
            </w:r>
          </w:p>
        </w:tc>
        <w:tc>
          <w:tcPr>
            <w:tcW w:w="864" w:type="dxa"/>
            <w:tcBorders>
              <w:top w:val="single" w:sz="4" w:space="0" w:color="auto"/>
              <w:left w:val="single" w:sz="4" w:space="0" w:color="auto"/>
              <w:bottom w:val="single" w:sz="4" w:space="0" w:color="auto"/>
              <w:right w:val="single" w:sz="4" w:space="0" w:color="auto"/>
            </w:tcBorders>
            <w:shd w:val="clear" w:color="auto" w:fill="92D050"/>
            <w:vAlign w:val="center"/>
          </w:tcPr>
          <w:p w14:paraId="2972ED25" w14:textId="3FF2A6D5" w:rsidR="009A71BD" w:rsidRDefault="009A71BD" w:rsidP="009A71BD">
            <w:pPr>
              <w:jc w:val="center"/>
              <w:rPr>
                <w:rFonts w:ascii="Arial" w:hAnsi="Arial" w:cs="Arial"/>
              </w:rPr>
            </w:pPr>
            <w:r>
              <w:rPr>
                <w:rFonts w:ascii="Arial" w:hAnsi="Arial" w:cs="Arial"/>
              </w:rPr>
              <w:t>G</w:t>
            </w:r>
          </w:p>
        </w:tc>
        <w:tc>
          <w:tcPr>
            <w:tcW w:w="86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20E80AF2" w14:textId="5E10BDDC" w:rsidR="009A71BD" w:rsidRDefault="009A71BD" w:rsidP="009A71BD">
            <w:pPr>
              <w:jc w:val="center"/>
              <w:rPr>
                <w:rFonts w:ascii="Arial" w:hAnsi="Arial" w:cs="Arial"/>
              </w:rPr>
            </w:pPr>
            <w:r>
              <w:rPr>
                <w:rFonts w:ascii="Arial" w:hAnsi="Arial" w:cs="Arial"/>
              </w:rPr>
              <w:t>A</w:t>
            </w:r>
          </w:p>
        </w:tc>
        <w:tc>
          <w:tcPr>
            <w:tcW w:w="7345" w:type="dxa"/>
            <w:tcBorders>
              <w:top w:val="single" w:sz="4" w:space="0" w:color="auto"/>
              <w:left w:val="nil"/>
              <w:bottom w:val="single" w:sz="4" w:space="0" w:color="auto"/>
              <w:right w:val="single" w:sz="4" w:space="0" w:color="auto"/>
            </w:tcBorders>
            <w:shd w:val="clear" w:color="auto" w:fill="auto"/>
            <w:vAlign w:val="center"/>
          </w:tcPr>
          <w:p w14:paraId="39005E10" w14:textId="040BAAFB" w:rsidR="009A71BD" w:rsidRDefault="009A71BD" w:rsidP="009A71BD">
            <w:pPr>
              <w:rPr>
                <w:rFonts w:ascii="Arial" w:hAnsi="Arial" w:cs="Arial"/>
              </w:rPr>
            </w:pPr>
            <w:r>
              <w:rPr>
                <w:rFonts w:ascii="Arial" w:hAnsi="Arial" w:cs="Arial"/>
                <w:color w:val="000000"/>
              </w:rPr>
              <w:t>Further development work in Q2 considering impacts of Covid-19 on our communities. Discussion held with Scrutiny members about approach and strategy content.  Some initial content drafted but further consultation work to be undertaken.  Activity has not met original timescales due to key staff being drawn into Covid</w:t>
            </w:r>
            <w:r w:rsidR="00E23BA1">
              <w:rPr>
                <w:rFonts w:ascii="Arial" w:hAnsi="Arial" w:cs="Arial"/>
                <w:color w:val="000000"/>
              </w:rPr>
              <w:t>-19</w:t>
            </w:r>
            <w:r>
              <w:rPr>
                <w:rFonts w:ascii="Arial" w:hAnsi="Arial" w:cs="Arial"/>
                <w:color w:val="000000"/>
              </w:rPr>
              <w:t xml:space="preserve"> related work.  </w:t>
            </w:r>
          </w:p>
        </w:tc>
      </w:tr>
      <w:tr w:rsidR="009A71BD" w14:paraId="593B4427" w14:textId="77777777" w:rsidTr="0D3AA324">
        <w:trPr>
          <w:trHeight w:val="1944"/>
        </w:trPr>
        <w:tc>
          <w:tcPr>
            <w:tcW w:w="3277" w:type="dxa"/>
            <w:vAlign w:val="center"/>
          </w:tcPr>
          <w:p w14:paraId="1F354684" w14:textId="64C66A9B" w:rsidR="009A71BD" w:rsidRPr="00733F7B" w:rsidRDefault="009A71BD" w:rsidP="009A71BD">
            <w:pPr>
              <w:rPr>
                <w:rFonts w:ascii="Arial" w:eastAsia="Times New Roman" w:hAnsi="Arial" w:cs="Arial"/>
                <w:color w:val="000000"/>
                <w:lang w:eastAsia="en-GB"/>
              </w:rPr>
            </w:pPr>
            <w:r w:rsidRPr="007501B8">
              <w:rPr>
                <w:rFonts w:ascii="Arial" w:hAnsi="Arial" w:cs="Arial"/>
                <w:b/>
              </w:rPr>
              <w:t>Deliver the Hardship Fund</w:t>
            </w:r>
            <w:r w:rsidRPr="004F77F6">
              <w:rPr>
                <w:rFonts w:ascii="Arial" w:hAnsi="Arial" w:cs="Arial"/>
              </w:rPr>
              <w:t xml:space="preserve"> to support those on the Council Tax Reduction Scheme and others experiencing financial hardship as a result of the pandemic</w:t>
            </w:r>
            <w:r>
              <w:rPr>
                <w:rFonts w:ascii="Arial" w:hAnsi="Arial" w:cs="Arial"/>
              </w:rPr>
              <w:t>.</w:t>
            </w:r>
          </w:p>
        </w:tc>
        <w:tc>
          <w:tcPr>
            <w:tcW w:w="1411" w:type="dxa"/>
            <w:vAlign w:val="center"/>
          </w:tcPr>
          <w:p w14:paraId="59DEEC33" w14:textId="7CA109B0" w:rsidR="009A71BD" w:rsidRPr="00215E6B" w:rsidRDefault="009A71BD" w:rsidP="009A71BD">
            <w:pPr>
              <w:rPr>
                <w:rFonts w:ascii="Arial" w:hAnsi="Arial" w:cs="Arial"/>
                <w:highlight w:val="lightGray"/>
              </w:rPr>
            </w:pPr>
            <w:r>
              <w:rPr>
                <w:rFonts w:ascii="Arial" w:hAnsi="Arial" w:cs="Arial"/>
              </w:rPr>
              <w:t>from June 2020</w:t>
            </w:r>
          </w:p>
        </w:tc>
        <w:tc>
          <w:tcPr>
            <w:tcW w:w="1543" w:type="dxa"/>
            <w:vAlign w:val="center"/>
          </w:tcPr>
          <w:p w14:paraId="58184DD9" w14:textId="48FDACEF" w:rsidR="009A71BD" w:rsidRPr="00215E6B" w:rsidRDefault="009A71BD" w:rsidP="009A71BD">
            <w:pPr>
              <w:rPr>
                <w:rFonts w:ascii="Arial" w:hAnsi="Arial" w:cs="Arial"/>
                <w:highlight w:val="lightGray"/>
              </w:rPr>
            </w:pPr>
            <w:r>
              <w:rPr>
                <w:rFonts w:ascii="Arial" w:hAnsi="Arial" w:cs="Arial"/>
              </w:rPr>
              <w:t>Customer Operations</w:t>
            </w:r>
          </w:p>
        </w:tc>
        <w:tc>
          <w:tcPr>
            <w:tcW w:w="86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76F5832" w14:textId="5B3038AE" w:rsidR="009A71BD" w:rsidRDefault="009A71BD" w:rsidP="009A71BD">
            <w:pPr>
              <w:jc w:val="center"/>
              <w:rPr>
                <w:rFonts w:ascii="Arial" w:hAnsi="Arial" w:cs="Arial"/>
              </w:rPr>
            </w:pPr>
            <w:r>
              <w:rPr>
                <w:rFonts w:ascii="Arial" w:hAnsi="Arial" w:cs="Arial"/>
              </w:rPr>
              <w:t>A</w:t>
            </w:r>
          </w:p>
        </w:tc>
        <w:tc>
          <w:tcPr>
            <w:tcW w:w="864" w:type="dxa"/>
            <w:tcBorders>
              <w:top w:val="single" w:sz="4" w:space="0" w:color="auto"/>
              <w:left w:val="single" w:sz="4" w:space="0" w:color="auto"/>
              <w:bottom w:val="single" w:sz="4" w:space="0" w:color="auto"/>
              <w:right w:val="single" w:sz="4" w:space="0" w:color="auto"/>
            </w:tcBorders>
            <w:shd w:val="clear" w:color="auto" w:fill="92D050"/>
            <w:vAlign w:val="center"/>
          </w:tcPr>
          <w:p w14:paraId="334044E5" w14:textId="558B3965" w:rsidR="009A71BD" w:rsidRDefault="009A71BD" w:rsidP="009A71BD">
            <w:pPr>
              <w:jc w:val="center"/>
              <w:rPr>
                <w:rFonts w:ascii="Arial" w:hAnsi="Arial" w:cs="Arial"/>
              </w:rPr>
            </w:pPr>
            <w:r>
              <w:rPr>
                <w:rFonts w:ascii="Arial" w:hAnsi="Arial" w:cs="Arial"/>
              </w:rPr>
              <w:t>G</w:t>
            </w:r>
          </w:p>
        </w:tc>
        <w:tc>
          <w:tcPr>
            <w:tcW w:w="7345" w:type="dxa"/>
            <w:tcBorders>
              <w:top w:val="nil"/>
              <w:left w:val="nil"/>
              <w:bottom w:val="single" w:sz="4" w:space="0" w:color="auto"/>
              <w:right w:val="single" w:sz="4" w:space="0" w:color="auto"/>
            </w:tcBorders>
            <w:shd w:val="clear" w:color="auto" w:fill="auto"/>
            <w:vAlign w:val="center"/>
          </w:tcPr>
          <w:p w14:paraId="45975240" w14:textId="32DD099C" w:rsidR="009A71BD" w:rsidRDefault="009A71BD" w:rsidP="009A71BD">
            <w:pPr>
              <w:rPr>
                <w:rFonts w:ascii="Arial" w:hAnsi="Arial" w:cs="Arial"/>
              </w:rPr>
            </w:pPr>
            <w:r>
              <w:rPr>
                <w:rFonts w:ascii="Arial" w:hAnsi="Arial" w:cs="Arial"/>
                <w:color w:val="000000"/>
              </w:rPr>
              <w:t xml:space="preserve">Software enhancements applied and scheme now fully operational, all outstanding awards now credited to accounts  </w:t>
            </w:r>
          </w:p>
        </w:tc>
      </w:tr>
      <w:tr w:rsidR="00F211E4" w14:paraId="2A0FA8B7" w14:textId="77777777" w:rsidTr="0D3AA324">
        <w:trPr>
          <w:trHeight w:val="1944"/>
        </w:trPr>
        <w:tc>
          <w:tcPr>
            <w:tcW w:w="3277" w:type="dxa"/>
            <w:vAlign w:val="center"/>
          </w:tcPr>
          <w:p w14:paraId="579209FD" w14:textId="53B58C57" w:rsidR="00F211E4" w:rsidRPr="00733F7B" w:rsidRDefault="00F211E4" w:rsidP="00F211E4">
            <w:pPr>
              <w:rPr>
                <w:rFonts w:ascii="Arial" w:eastAsia="Times New Roman" w:hAnsi="Arial" w:cs="Arial"/>
                <w:color w:val="000000"/>
                <w:lang w:eastAsia="en-GB"/>
              </w:rPr>
            </w:pPr>
            <w:r w:rsidRPr="007501B8">
              <w:rPr>
                <w:rFonts w:ascii="Arial" w:hAnsi="Arial" w:cs="Arial"/>
                <w:b/>
              </w:rPr>
              <w:lastRenderedPageBreak/>
              <w:t>Implement the Homeless Strategy action plan</w:t>
            </w:r>
            <w:r w:rsidRPr="004F77F6">
              <w:rPr>
                <w:rFonts w:ascii="Arial" w:hAnsi="Arial" w:cs="Arial"/>
              </w:rPr>
              <w:t xml:space="preserve"> </w:t>
            </w:r>
            <w:r>
              <w:rPr>
                <w:rFonts w:ascii="Arial" w:hAnsi="Arial" w:cs="Arial"/>
              </w:rPr>
              <w:t xml:space="preserve">including a focus on prevention activity and </w:t>
            </w:r>
            <w:r w:rsidRPr="0054334A">
              <w:rPr>
                <w:rFonts w:ascii="Arial" w:hAnsi="Arial" w:cs="Arial"/>
              </w:rPr>
              <w:t>ongoing work to help the additional people housed during the pandemic crisis to remain in accommodation</w:t>
            </w:r>
            <w:r>
              <w:rPr>
                <w:rFonts w:ascii="Arial" w:hAnsi="Arial" w:cs="Arial"/>
              </w:rPr>
              <w:t>.</w:t>
            </w:r>
          </w:p>
        </w:tc>
        <w:tc>
          <w:tcPr>
            <w:tcW w:w="1411" w:type="dxa"/>
            <w:vAlign w:val="center"/>
          </w:tcPr>
          <w:p w14:paraId="189624A0" w14:textId="1E60AEA4" w:rsidR="00F211E4" w:rsidRPr="00215E6B" w:rsidRDefault="00F211E4" w:rsidP="00F211E4">
            <w:pPr>
              <w:rPr>
                <w:rFonts w:ascii="Arial" w:hAnsi="Arial" w:cs="Arial"/>
                <w:highlight w:val="lightGray"/>
              </w:rPr>
            </w:pPr>
            <w:r>
              <w:rPr>
                <w:rFonts w:ascii="Arial" w:hAnsi="Arial" w:cs="Arial"/>
              </w:rPr>
              <w:t>from June 2020</w:t>
            </w:r>
          </w:p>
        </w:tc>
        <w:tc>
          <w:tcPr>
            <w:tcW w:w="1543" w:type="dxa"/>
            <w:vAlign w:val="center"/>
          </w:tcPr>
          <w:p w14:paraId="5307CF50" w14:textId="7E189447" w:rsidR="00F211E4" w:rsidRPr="00215E6B" w:rsidRDefault="00F211E4" w:rsidP="00F211E4">
            <w:pPr>
              <w:rPr>
                <w:rFonts w:ascii="Arial" w:hAnsi="Arial" w:cs="Arial"/>
                <w:highlight w:val="lightGray"/>
              </w:rPr>
            </w:pPr>
            <w:r>
              <w:rPr>
                <w:rFonts w:ascii="Arial" w:hAnsi="Arial" w:cs="Arial"/>
              </w:rPr>
              <w:t>Customer Operations</w:t>
            </w:r>
          </w:p>
        </w:tc>
        <w:tc>
          <w:tcPr>
            <w:tcW w:w="864" w:type="dxa"/>
            <w:tcBorders>
              <w:top w:val="single" w:sz="4" w:space="0" w:color="auto"/>
              <w:left w:val="single" w:sz="4" w:space="0" w:color="auto"/>
              <w:bottom w:val="single" w:sz="4" w:space="0" w:color="auto"/>
              <w:right w:val="single" w:sz="4" w:space="0" w:color="auto"/>
            </w:tcBorders>
            <w:shd w:val="clear" w:color="auto" w:fill="92D050"/>
            <w:vAlign w:val="center"/>
          </w:tcPr>
          <w:p w14:paraId="6DA90AF3" w14:textId="4B396642" w:rsidR="00F211E4" w:rsidRDefault="00F211E4" w:rsidP="00F211E4">
            <w:pPr>
              <w:jc w:val="center"/>
              <w:rPr>
                <w:rFonts w:ascii="Arial" w:hAnsi="Arial" w:cs="Arial"/>
              </w:rPr>
            </w:pPr>
            <w:r>
              <w:rPr>
                <w:rFonts w:ascii="Arial" w:hAnsi="Arial" w:cs="Arial"/>
              </w:rPr>
              <w:t>G</w:t>
            </w:r>
          </w:p>
        </w:tc>
        <w:tc>
          <w:tcPr>
            <w:tcW w:w="86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609D1927" w14:textId="56380709" w:rsidR="00F211E4" w:rsidRDefault="00F211E4" w:rsidP="00F211E4">
            <w:pPr>
              <w:jc w:val="center"/>
              <w:rPr>
                <w:rFonts w:ascii="Arial" w:hAnsi="Arial" w:cs="Arial"/>
              </w:rPr>
            </w:pPr>
            <w:r>
              <w:rPr>
                <w:rFonts w:ascii="Arial" w:hAnsi="Arial" w:cs="Arial"/>
              </w:rPr>
              <w:t>A</w:t>
            </w:r>
          </w:p>
        </w:tc>
        <w:tc>
          <w:tcPr>
            <w:tcW w:w="7345" w:type="dxa"/>
            <w:tcBorders>
              <w:top w:val="single" w:sz="4" w:space="0" w:color="auto"/>
              <w:left w:val="nil"/>
              <w:bottom w:val="single" w:sz="4" w:space="0" w:color="auto"/>
              <w:right w:val="single" w:sz="4" w:space="0" w:color="auto"/>
            </w:tcBorders>
            <w:shd w:val="clear" w:color="auto" w:fill="auto"/>
            <w:vAlign w:val="center"/>
          </w:tcPr>
          <w:p w14:paraId="0915F2C8" w14:textId="77F1B211" w:rsidR="00F211E4" w:rsidRDefault="00F211E4" w:rsidP="00A84510">
            <w:pPr>
              <w:rPr>
                <w:rFonts w:ascii="Arial" w:hAnsi="Arial" w:cs="Arial"/>
              </w:rPr>
            </w:pPr>
            <w:r>
              <w:rPr>
                <w:rFonts w:ascii="Arial" w:hAnsi="Arial" w:cs="Arial"/>
                <w:color w:val="000000"/>
              </w:rPr>
              <w:t xml:space="preserve">We managed to secure additional funding for rough sleepers as part of the revenue </w:t>
            </w:r>
            <w:r w:rsidR="00A84510">
              <w:rPr>
                <w:rFonts w:ascii="Arial" w:hAnsi="Arial" w:cs="Arial"/>
                <w:color w:val="000000"/>
              </w:rPr>
              <w:t>side of the Next Steps Accommodation Programme</w:t>
            </w:r>
            <w:r>
              <w:rPr>
                <w:rFonts w:ascii="Arial" w:hAnsi="Arial" w:cs="Arial"/>
                <w:color w:val="000000"/>
              </w:rPr>
              <w:t xml:space="preserve"> bid total £82k. We are still waiting to hear about the capital side of the bid which will secure additional funding to house rough sleepers.</w:t>
            </w:r>
          </w:p>
        </w:tc>
      </w:tr>
      <w:tr w:rsidR="00F211E4" w14:paraId="5823C1F8" w14:textId="77777777" w:rsidTr="0D3AA324">
        <w:trPr>
          <w:trHeight w:val="1169"/>
        </w:trPr>
        <w:tc>
          <w:tcPr>
            <w:tcW w:w="3277" w:type="dxa"/>
            <w:vAlign w:val="center"/>
          </w:tcPr>
          <w:p w14:paraId="14FF6BB4" w14:textId="53FDD4F3" w:rsidR="00F211E4" w:rsidRPr="00733F7B" w:rsidRDefault="00F211E4" w:rsidP="00F211E4">
            <w:pPr>
              <w:rPr>
                <w:rFonts w:ascii="Arial" w:eastAsia="Times New Roman" w:hAnsi="Arial" w:cs="Arial"/>
                <w:color w:val="000000"/>
                <w:lang w:eastAsia="en-GB"/>
              </w:rPr>
            </w:pPr>
            <w:r w:rsidRPr="007501B8">
              <w:rPr>
                <w:rFonts w:ascii="Arial" w:hAnsi="Arial" w:cs="Arial"/>
                <w:b/>
              </w:rPr>
              <w:t>Progress and launch the Cold to Cosy Homes Scheme</w:t>
            </w:r>
            <w:r w:rsidRPr="004F77F6">
              <w:rPr>
                <w:rFonts w:ascii="Arial" w:hAnsi="Arial" w:cs="Arial"/>
              </w:rPr>
              <w:t xml:space="preserve"> – working towards launch in autumn 2020</w:t>
            </w:r>
            <w:r>
              <w:rPr>
                <w:rFonts w:ascii="Arial" w:hAnsi="Arial" w:cs="Arial"/>
              </w:rPr>
              <w:t>.</w:t>
            </w:r>
          </w:p>
        </w:tc>
        <w:tc>
          <w:tcPr>
            <w:tcW w:w="1411" w:type="dxa"/>
            <w:vAlign w:val="center"/>
          </w:tcPr>
          <w:p w14:paraId="25D3A472" w14:textId="08184CFA" w:rsidR="00F211E4" w:rsidRPr="00215E6B" w:rsidRDefault="00F211E4" w:rsidP="00F211E4">
            <w:pPr>
              <w:rPr>
                <w:rFonts w:ascii="Arial" w:hAnsi="Arial" w:cs="Arial"/>
                <w:highlight w:val="lightGray"/>
              </w:rPr>
            </w:pPr>
            <w:r>
              <w:rPr>
                <w:rFonts w:ascii="Arial" w:hAnsi="Arial" w:cs="Arial"/>
              </w:rPr>
              <w:t>by Oct 2020</w:t>
            </w:r>
          </w:p>
        </w:tc>
        <w:tc>
          <w:tcPr>
            <w:tcW w:w="1543" w:type="dxa"/>
            <w:vAlign w:val="center"/>
          </w:tcPr>
          <w:p w14:paraId="43586AE7" w14:textId="274DBBBC" w:rsidR="00F211E4" w:rsidRPr="00215E6B" w:rsidRDefault="00F211E4" w:rsidP="00F211E4">
            <w:pPr>
              <w:rPr>
                <w:rFonts w:ascii="Arial" w:hAnsi="Arial" w:cs="Arial"/>
                <w:highlight w:val="lightGray"/>
              </w:rPr>
            </w:pPr>
            <w:r w:rsidRPr="007B3056">
              <w:rPr>
                <w:rFonts w:ascii="Arial" w:hAnsi="Arial" w:cs="Arial"/>
              </w:rPr>
              <w:t>Governance and Regulatory Services</w:t>
            </w:r>
          </w:p>
        </w:tc>
        <w:tc>
          <w:tcPr>
            <w:tcW w:w="864" w:type="dxa"/>
            <w:tcBorders>
              <w:top w:val="single" w:sz="4" w:space="0" w:color="auto"/>
              <w:left w:val="single" w:sz="4" w:space="0" w:color="auto"/>
              <w:bottom w:val="single" w:sz="4" w:space="0" w:color="auto"/>
              <w:right w:val="single" w:sz="4" w:space="0" w:color="auto"/>
            </w:tcBorders>
            <w:shd w:val="clear" w:color="auto" w:fill="92D050"/>
            <w:vAlign w:val="center"/>
          </w:tcPr>
          <w:p w14:paraId="3209F051" w14:textId="5A9A1C97" w:rsidR="00F211E4" w:rsidRDefault="00F211E4" w:rsidP="00F211E4">
            <w:pPr>
              <w:jc w:val="center"/>
              <w:rPr>
                <w:rFonts w:ascii="Arial" w:hAnsi="Arial" w:cs="Arial"/>
              </w:rPr>
            </w:pPr>
            <w:r>
              <w:rPr>
                <w:rFonts w:ascii="Arial" w:hAnsi="Arial" w:cs="Arial"/>
              </w:rPr>
              <w:t>G</w:t>
            </w:r>
          </w:p>
        </w:tc>
        <w:tc>
          <w:tcPr>
            <w:tcW w:w="86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38F0524A" w14:textId="7F42818A" w:rsidR="00F211E4" w:rsidRDefault="00F211E4" w:rsidP="00F211E4">
            <w:pPr>
              <w:jc w:val="center"/>
              <w:rPr>
                <w:rFonts w:ascii="Arial" w:hAnsi="Arial" w:cs="Arial"/>
              </w:rPr>
            </w:pPr>
            <w:r>
              <w:rPr>
                <w:rFonts w:ascii="Arial" w:hAnsi="Arial" w:cs="Arial"/>
              </w:rPr>
              <w:t>A</w:t>
            </w:r>
          </w:p>
        </w:tc>
        <w:tc>
          <w:tcPr>
            <w:tcW w:w="7345" w:type="dxa"/>
            <w:tcBorders>
              <w:top w:val="nil"/>
              <w:left w:val="nil"/>
              <w:bottom w:val="single" w:sz="4" w:space="0" w:color="auto"/>
              <w:right w:val="single" w:sz="4" w:space="0" w:color="auto"/>
            </w:tcBorders>
            <w:shd w:val="clear" w:color="auto" w:fill="auto"/>
            <w:vAlign w:val="center"/>
          </w:tcPr>
          <w:p w14:paraId="42552972" w14:textId="280E8A38" w:rsidR="00F211E4" w:rsidRDefault="0099331D" w:rsidP="00F211E4">
            <w:pPr>
              <w:rPr>
                <w:rFonts w:ascii="Arial" w:hAnsi="Arial" w:cs="Arial"/>
              </w:rPr>
            </w:pPr>
            <w:r>
              <w:rPr>
                <w:rFonts w:ascii="Arial" w:hAnsi="Arial" w:cs="Arial"/>
                <w:color w:val="000000"/>
              </w:rPr>
              <w:t>The Cold to C</w:t>
            </w:r>
            <w:r w:rsidR="00F211E4">
              <w:rPr>
                <w:rFonts w:ascii="Arial" w:hAnsi="Arial" w:cs="Arial"/>
                <w:color w:val="000000"/>
              </w:rPr>
              <w:t xml:space="preserve">osy </w:t>
            </w:r>
            <w:r>
              <w:rPr>
                <w:rFonts w:ascii="Arial" w:hAnsi="Arial" w:cs="Arial"/>
                <w:color w:val="000000"/>
              </w:rPr>
              <w:t xml:space="preserve">Homes </w:t>
            </w:r>
            <w:r w:rsidR="00F211E4">
              <w:rPr>
                <w:rFonts w:ascii="Arial" w:hAnsi="Arial" w:cs="Arial"/>
                <w:color w:val="000000"/>
              </w:rPr>
              <w:t>scheme is live and staff members have attended the training. The team are signposting and referring people to the scheme however further work is needed to promote the scheme.</w:t>
            </w:r>
          </w:p>
        </w:tc>
      </w:tr>
    </w:tbl>
    <w:p w14:paraId="31C139F3" w14:textId="77777777" w:rsidR="004909F0" w:rsidRPr="00B04377" w:rsidRDefault="004909F0" w:rsidP="004909F0">
      <w:pPr>
        <w:tabs>
          <w:tab w:val="left" w:pos="1134"/>
        </w:tabs>
        <w:rPr>
          <w:sz w:val="32"/>
        </w:rPr>
      </w:pPr>
      <w:r>
        <w:t xml:space="preserve"> </w:t>
      </w:r>
    </w:p>
    <w:p w14:paraId="6DE58DD6" w14:textId="77777777" w:rsidR="004909F0" w:rsidRDefault="004909F0" w:rsidP="004909F0">
      <w:pPr>
        <w:rPr>
          <w:rFonts w:ascii="Arial" w:hAnsi="Arial" w:cs="Arial"/>
          <w:bCs/>
          <w:sz w:val="24"/>
          <w:szCs w:val="24"/>
        </w:rPr>
      </w:pPr>
    </w:p>
    <w:tbl>
      <w:tblPr>
        <w:tblStyle w:val="TableGrid"/>
        <w:tblW w:w="15304" w:type="dxa"/>
        <w:tblLook w:val="04A0" w:firstRow="1" w:lastRow="0" w:firstColumn="1" w:lastColumn="0" w:noHBand="0" w:noVBand="1"/>
      </w:tblPr>
      <w:tblGrid>
        <w:gridCol w:w="3886"/>
        <w:gridCol w:w="1077"/>
        <w:gridCol w:w="852"/>
        <w:gridCol w:w="889"/>
        <w:gridCol w:w="1028"/>
        <w:gridCol w:w="1109"/>
        <w:gridCol w:w="6463"/>
      </w:tblGrid>
      <w:tr w:rsidR="004B3024" w:rsidRPr="002E7893" w14:paraId="4BD84A2A" w14:textId="77777777" w:rsidTr="00BE54CD">
        <w:trPr>
          <w:trHeight w:val="521"/>
        </w:trPr>
        <w:tc>
          <w:tcPr>
            <w:tcW w:w="3886" w:type="dxa"/>
            <w:shd w:val="clear" w:color="auto" w:fill="6C4B94"/>
            <w:vAlign w:val="center"/>
          </w:tcPr>
          <w:p w14:paraId="22877AD0" w14:textId="18713FE2" w:rsidR="004B3024" w:rsidRPr="004909F0" w:rsidRDefault="004B3024" w:rsidP="004B3024">
            <w:pPr>
              <w:tabs>
                <w:tab w:val="left" w:pos="1134"/>
              </w:tabs>
              <w:rPr>
                <w:rFonts w:ascii="Arial" w:hAnsi="Arial" w:cs="Arial"/>
                <w:b/>
                <w:bCs/>
                <w:szCs w:val="24"/>
              </w:rPr>
            </w:pPr>
            <w:r w:rsidRPr="004909F0">
              <w:rPr>
                <w:rFonts w:ascii="Arial" w:hAnsi="Arial" w:cs="Arial"/>
                <w:b/>
                <w:bCs/>
                <w:color w:val="FFFFFF" w:themeColor="background1"/>
                <w:szCs w:val="24"/>
              </w:rPr>
              <w:t>Key performance indicators</w:t>
            </w:r>
          </w:p>
        </w:tc>
        <w:tc>
          <w:tcPr>
            <w:tcW w:w="1077" w:type="dxa"/>
            <w:shd w:val="clear" w:color="auto" w:fill="6C4B94"/>
            <w:vAlign w:val="center"/>
          </w:tcPr>
          <w:p w14:paraId="427F3B87" w14:textId="38A8F718" w:rsidR="004B3024" w:rsidRPr="004909F0" w:rsidRDefault="004B3024" w:rsidP="004B3024">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2019/20 actual</w:t>
            </w:r>
          </w:p>
        </w:tc>
        <w:tc>
          <w:tcPr>
            <w:tcW w:w="852" w:type="dxa"/>
            <w:shd w:val="clear" w:color="auto" w:fill="6C4B94"/>
          </w:tcPr>
          <w:p w14:paraId="261B8C33" w14:textId="77777777" w:rsidR="004B3024" w:rsidRPr="004909F0" w:rsidRDefault="004B3024" w:rsidP="004B3024">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Q1 actual</w:t>
            </w:r>
          </w:p>
        </w:tc>
        <w:tc>
          <w:tcPr>
            <w:tcW w:w="889" w:type="dxa"/>
            <w:shd w:val="clear" w:color="auto" w:fill="6C4B94"/>
          </w:tcPr>
          <w:p w14:paraId="09DE586C" w14:textId="3F763470" w:rsidR="004B3024" w:rsidRPr="004909F0" w:rsidRDefault="004B3024" w:rsidP="004B3024">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Q2 actual</w:t>
            </w:r>
          </w:p>
        </w:tc>
        <w:tc>
          <w:tcPr>
            <w:tcW w:w="1028" w:type="dxa"/>
            <w:shd w:val="clear" w:color="auto" w:fill="6C4B94"/>
          </w:tcPr>
          <w:p w14:paraId="22D4BF43" w14:textId="3E8CDFE4" w:rsidR="004B3024" w:rsidRPr="004909F0" w:rsidRDefault="004B3024" w:rsidP="004B3024">
            <w:pPr>
              <w:tabs>
                <w:tab w:val="left" w:pos="1134"/>
              </w:tabs>
              <w:jc w:val="center"/>
              <w:rPr>
                <w:rFonts w:ascii="Arial" w:hAnsi="Arial" w:cs="Arial"/>
                <w:b/>
                <w:bCs/>
                <w:color w:val="FFFFFF" w:themeColor="background1"/>
                <w:szCs w:val="24"/>
              </w:rPr>
            </w:pPr>
            <w:r>
              <w:rPr>
                <w:rFonts w:ascii="Arial" w:hAnsi="Arial" w:cs="Arial"/>
                <w:b/>
                <w:bCs/>
                <w:color w:val="FFFFFF" w:themeColor="background1"/>
                <w:szCs w:val="24"/>
              </w:rPr>
              <w:t>Trend</w:t>
            </w:r>
          </w:p>
        </w:tc>
        <w:tc>
          <w:tcPr>
            <w:tcW w:w="1109" w:type="dxa"/>
            <w:shd w:val="clear" w:color="auto" w:fill="6C4B94"/>
          </w:tcPr>
          <w:p w14:paraId="31F2DD2F" w14:textId="02B6D7D3" w:rsidR="004B3024" w:rsidRPr="004909F0" w:rsidRDefault="004B3024" w:rsidP="004B3024">
            <w:pPr>
              <w:tabs>
                <w:tab w:val="left" w:pos="1134"/>
              </w:tabs>
              <w:jc w:val="center"/>
              <w:rPr>
                <w:rFonts w:ascii="Arial" w:hAnsi="Arial" w:cs="Arial"/>
                <w:b/>
                <w:bCs/>
                <w:color w:val="FFFFFF" w:themeColor="background1"/>
                <w:szCs w:val="24"/>
              </w:rPr>
            </w:pPr>
            <w:r w:rsidRPr="004909F0">
              <w:rPr>
                <w:rFonts w:ascii="Arial" w:hAnsi="Arial" w:cs="Arial"/>
                <w:b/>
                <w:bCs/>
                <w:color w:val="FFFFFF" w:themeColor="background1"/>
                <w:szCs w:val="24"/>
              </w:rPr>
              <w:t xml:space="preserve">Target </w:t>
            </w:r>
            <w:r>
              <w:rPr>
                <w:rFonts w:ascii="Arial" w:hAnsi="Arial" w:cs="Arial"/>
                <w:b/>
                <w:bCs/>
                <w:color w:val="FFFFFF" w:themeColor="background1"/>
                <w:szCs w:val="24"/>
              </w:rPr>
              <w:t>Q2</w:t>
            </w:r>
          </w:p>
        </w:tc>
        <w:tc>
          <w:tcPr>
            <w:tcW w:w="6463" w:type="dxa"/>
            <w:shd w:val="clear" w:color="auto" w:fill="6C4B94"/>
          </w:tcPr>
          <w:p w14:paraId="4D1C2585" w14:textId="77777777" w:rsidR="004B3024" w:rsidRPr="004909F0" w:rsidRDefault="004B3024" w:rsidP="004B3024">
            <w:pPr>
              <w:tabs>
                <w:tab w:val="left" w:pos="1134"/>
              </w:tabs>
              <w:jc w:val="center"/>
              <w:rPr>
                <w:rFonts w:ascii="Arial" w:hAnsi="Arial" w:cs="Arial"/>
                <w:b/>
                <w:bCs/>
                <w:color w:val="FFFFFF" w:themeColor="background1"/>
                <w:szCs w:val="24"/>
              </w:rPr>
            </w:pPr>
            <w:r w:rsidRPr="004909F0">
              <w:rPr>
                <w:rFonts w:ascii="Arial" w:hAnsi="Arial" w:cs="Arial"/>
                <w:b/>
                <w:bCs/>
                <w:color w:val="FFFFFF" w:themeColor="background1"/>
                <w:szCs w:val="24"/>
              </w:rPr>
              <w:t>Progress and management action (where red/amber)</w:t>
            </w:r>
          </w:p>
        </w:tc>
      </w:tr>
      <w:tr w:rsidR="004B3024" w:rsidRPr="002E7893" w14:paraId="40C671A3" w14:textId="77777777" w:rsidTr="00BE54CD">
        <w:trPr>
          <w:trHeight w:val="612"/>
        </w:trPr>
        <w:tc>
          <w:tcPr>
            <w:tcW w:w="3886" w:type="dxa"/>
            <w:vAlign w:val="center"/>
          </w:tcPr>
          <w:p w14:paraId="62BDCDD5" w14:textId="3581BBE4" w:rsidR="004B3024" w:rsidRDefault="004B3024" w:rsidP="004B3024">
            <w:pPr>
              <w:rPr>
                <w:rFonts w:ascii="Arial" w:hAnsi="Arial" w:cs="Arial"/>
              </w:rPr>
            </w:pPr>
            <w:r w:rsidRPr="00A7589F">
              <w:rPr>
                <w:rFonts w:ascii="Arial" w:hAnsi="Arial" w:cs="Arial"/>
              </w:rPr>
              <w:t>Leisure centre usage</w:t>
            </w:r>
            <w:r>
              <w:rPr>
                <w:rFonts w:ascii="Arial" w:hAnsi="Arial" w:cs="Arial"/>
              </w:rPr>
              <w:t xml:space="preserve"> - Workington</w:t>
            </w:r>
          </w:p>
        </w:tc>
        <w:tc>
          <w:tcPr>
            <w:tcW w:w="1077" w:type="dxa"/>
            <w:vAlign w:val="center"/>
          </w:tcPr>
          <w:p w14:paraId="268E4197" w14:textId="033B4039" w:rsidR="004B3024" w:rsidRPr="00E072DF" w:rsidRDefault="004B3024" w:rsidP="004B3024">
            <w:pPr>
              <w:jc w:val="center"/>
              <w:rPr>
                <w:rFonts w:ascii="Arial" w:hAnsi="Arial" w:cs="Arial"/>
              </w:rPr>
            </w:pPr>
            <w:r>
              <w:rPr>
                <w:rFonts w:ascii="Arial" w:hAnsi="Arial" w:cs="Arial"/>
              </w:rPr>
              <w:t>268,172</w:t>
            </w:r>
          </w:p>
        </w:tc>
        <w:tc>
          <w:tcPr>
            <w:tcW w:w="852" w:type="dxa"/>
            <w:shd w:val="clear" w:color="auto" w:fill="auto"/>
            <w:vAlign w:val="center"/>
          </w:tcPr>
          <w:p w14:paraId="3A771632" w14:textId="4E946F4E" w:rsidR="004B3024" w:rsidRDefault="004B3024" w:rsidP="004B3024">
            <w:pPr>
              <w:jc w:val="center"/>
              <w:rPr>
                <w:rFonts w:ascii="Arial" w:hAnsi="Arial" w:cs="Arial"/>
              </w:rPr>
            </w:pPr>
            <w:r>
              <w:rPr>
                <w:rFonts w:ascii="Arial" w:hAnsi="Arial" w:cs="Arial"/>
              </w:rPr>
              <w:t>n/a</w:t>
            </w:r>
          </w:p>
        </w:tc>
        <w:tc>
          <w:tcPr>
            <w:tcW w:w="889" w:type="dxa"/>
            <w:vAlign w:val="center"/>
          </w:tcPr>
          <w:p w14:paraId="059B5BED" w14:textId="15869B17" w:rsidR="004B3024" w:rsidRPr="00F211E4" w:rsidRDefault="00F211E4" w:rsidP="004B3024">
            <w:pPr>
              <w:jc w:val="center"/>
              <w:rPr>
                <w:rFonts w:ascii="Arial" w:hAnsi="Arial" w:cs="Arial"/>
              </w:rPr>
            </w:pPr>
            <w:r w:rsidRPr="00F211E4">
              <w:rPr>
                <w:rFonts w:ascii="Arial" w:hAnsi="Arial" w:cs="Arial"/>
              </w:rPr>
              <w:t>21704</w:t>
            </w:r>
          </w:p>
        </w:tc>
        <w:tc>
          <w:tcPr>
            <w:tcW w:w="1028" w:type="dxa"/>
            <w:vAlign w:val="center"/>
          </w:tcPr>
          <w:p w14:paraId="0D5E0A7D" w14:textId="532ACE5B" w:rsidR="004B3024" w:rsidRDefault="00F211E4" w:rsidP="004B3024">
            <w:pPr>
              <w:jc w:val="center"/>
              <w:rPr>
                <w:rFonts w:ascii="Arial" w:hAnsi="Arial" w:cs="Arial"/>
              </w:rPr>
            </w:pPr>
            <w:r>
              <w:rPr>
                <w:rFonts w:ascii="Arial" w:hAnsi="Arial" w:cs="Arial"/>
              </w:rPr>
              <w:t>n/a</w:t>
            </w:r>
          </w:p>
        </w:tc>
        <w:tc>
          <w:tcPr>
            <w:tcW w:w="1109" w:type="dxa"/>
            <w:vAlign w:val="center"/>
          </w:tcPr>
          <w:p w14:paraId="34224BD2" w14:textId="740C0D10" w:rsidR="004B3024" w:rsidRDefault="004B3024" w:rsidP="004B3024">
            <w:pPr>
              <w:jc w:val="center"/>
              <w:rPr>
                <w:rFonts w:ascii="Arial" w:hAnsi="Arial" w:cs="Arial"/>
              </w:rPr>
            </w:pPr>
            <w:r>
              <w:rPr>
                <w:rFonts w:ascii="Arial" w:hAnsi="Arial" w:cs="Arial"/>
              </w:rPr>
              <w:t>I</w:t>
            </w:r>
            <w:r w:rsidRPr="00F15BE5">
              <w:rPr>
                <w:rFonts w:ascii="Arial" w:hAnsi="Arial" w:cs="Arial"/>
              </w:rPr>
              <w:t>ncrease</w:t>
            </w:r>
          </w:p>
        </w:tc>
        <w:tc>
          <w:tcPr>
            <w:tcW w:w="6463" w:type="dxa"/>
            <w:vAlign w:val="center"/>
          </w:tcPr>
          <w:p w14:paraId="22C37E06" w14:textId="71B335F2" w:rsidR="004B3024" w:rsidRDefault="004B3024" w:rsidP="00F211E4">
            <w:pPr>
              <w:rPr>
                <w:rFonts w:ascii="Arial" w:hAnsi="Arial" w:cs="Arial"/>
              </w:rPr>
            </w:pPr>
            <w:r>
              <w:rPr>
                <w:rFonts w:ascii="Arial" w:hAnsi="Arial" w:cs="Arial"/>
              </w:rPr>
              <w:t>Workington reopened at end of July</w:t>
            </w:r>
            <w:r w:rsidR="00F211E4">
              <w:rPr>
                <w:rFonts w:ascii="Arial" w:hAnsi="Arial" w:cs="Arial"/>
              </w:rPr>
              <w:t xml:space="preserve"> so the Q2 figure represents August and September</w:t>
            </w:r>
            <w:r>
              <w:rPr>
                <w:rFonts w:ascii="Arial" w:hAnsi="Arial" w:cs="Arial"/>
              </w:rPr>
              <w:t xml:space="preserve">.  </w:t>
            </w:r>
            <w:r w:rsidR="00F211E4">
              <w:rPr>
                <w:rFonts w:ascii="Arial" w:hAnsi="Arial" w:cs="Arial"/>
              </w:rPr>
              <w:t xml:space="preserve">As a comparison the </w:t>
            </w:r>
            <w:r w:rsidR="00F211E4" w:rsidRPr="00F211E4">
              <w:rPr>
                <w:rFonts w:ascii="Arial" w:hAnsi="Arial" w:cs="Arial"/>
              </w:rPr>
              <w:t>figure for September 2019 was 24,943.</w:t>
            </w:r>
            <w:r w:rsidR="00F211E4">
              <w:rPr>
                <w:rFonts w:ascii="Arial" w:hAnsi="Arial" w:cs="Arial"/>
              </w:rPr>
              <w:t xml:space="preserve"> </w:t>
            </w:r>
            <w:r w:rsidR="00F211E4" w:rsidRPr="00F211E4">
              <w:rPr>
                <w:rFonts w:ascii="Arial" w:hAnsi="Arial" w:cs="Arial"/>
              </w:rPr>
              <w:t xml:space="preserve">Swimming lessons have been reintroduced at Cockermouth and Workington with around 50% of the original number rebooking their places. Workington has one of the highest retention rates currently of members returning to activity. </w:t>
            </w:r>
          </w:p>
        </w:tc>
      </w:tr>
      <w:tr w:rsidR="004B3024" w:rsidRPr="002E7893" w14:paraId="03363093" w14:textId="77777777" w:rsidTr="00BE54CD">
        <w:trPr>
          <w:trHeight w:val="612"/>
        </w:trPr>
        <w:tc>
          <w:tcPr>
            <w:tcW w:w="3886" w:type="dxa"/>
            <w:vAlign w:val="center"/>
          </w:tcPr>
          <w:p w14:paraId="052248B9" w14:textId="3E36B731" w:rsidR="004B3024" w:rsidRPr="00A7589F" w:rsidRDefault="004B3024" w:rsidP="004B3024">
            <w:pPr>
              <w:rPr>
                <w:rFonts w:ascii="Arial" w:hAnsi="Arial" w:cs="Arial"/>
              </w:rPr>
            </w:pPr>
            <w:r w:rsidRPr="00A7589F">
              <w:rPr>
                <w:rFonts w:ascii="Arial" w:hAnsi="Arial" w:cs="Arial"/>
              </w:rPr>
              <w:t>Leisure centre usage</w:t>
            </w:r>
            <w:r>
              <w:rPr>
                <w:rFonts w:ascii="Arial" w:hAnsi="Arial" w:cs="Arial"/>
              </w:rPr>
              <w:t xml:space="preserve"> - Cockermouth</w:t>
            </w:r>
          </w:p>
        </w:tc>
        <w:tc>
          <w:tcPr>
            <w:tcW w:w="1077" w:type="dxa"/>
            <w:vAlign w:val="center"/>
          </w:tcPr>
          <w:p w14:paraId="0F4C91D7" w14:textId="2A0B0619" w:rsidR="004B3024" w:rsidRPr="00E072DF" w:rsidRDefault="004B3024" w:rsidP="004B3024">
            <w:pPr>
              <w:jc w:val="center"/>
              <w:rPr>
                <w:rFonts w:ascii="Arial" w:hAnsi="Arial" w:cs="Arial"/>
              </w:rPr>
            </w:pPr>
            <w:r>
              <w:rPr>
                <w:rFonts w:ascii="Arial" w:hAnsi="Arial" w:cs="Arial"/>
              </w:rPr>
              <w:t>174,476</w:t>
            </w:r>
          </w:p>
        </w:tc>
        <w:tc>
          <w:tcPr>
            <w:tcW w:w="852" w:type="dxa"/>
            <w:shd w:val="clear" w:color="auto" w:fill="auto"/>
            <w:vAlign w:val="center"/>
          </w:tcPr>
          <w:p w14:paraId="0783942A" w14:textId="4983C218" w:rsidR="004B3024" w:rsidRDefault="004B3024" w:rsidP="004B3024">
            <w:pPr>
              <w:jc w:val="center"/>
              <w:rPr>
                <w:rFonts w:ascii="Arial" w:hAnsi="Arial" w:cs="Arial"/>
              </w:rPr>
            </w:pPr>
            <w:r>
              <w:rPr>
                <w:rFonts w:ascii="Arial" w:hAnsi="Arial" w:cs="Arial"/>
              </w:rPr>
              <w:t>n/a</w:t>
            </w:r>
          </w:p>
        </w:tc>
        <w:tc>
          <w:tcPr>
            <w:tcW w:w="889" w:type="dxa"/>
            <w:vAlign w:val="center"/>
          </w:tcPr>
          <w:p w14:paraId="5DD7C56E" w14:textId="47055828" w:rsidR="004B3024" w:rsidRPr="00F211E4" w:rsidRDefault="00F211E4" w:rsidP="004B3024">
            <w:pPr>
              <w:jc w:val="center"/>
              <w:rPr>
                <w:rFonts w:ascii="Arial" w:hAnsi="Arial" w:cs="Arial"/>
              </w:rPr>
            </w:pPr>
            <w:r w:rsidRPr="00F211E4">
              <w:rPr>
                <w:rFonts w:ascii="Arial" w:hAnsi="Arial" w:cs="Arial"/>
              </w:rPr>
              <w:t>10281</w:t>
            </w:r>
          </w:p>
        </w:tc>
        <w:tc>
          <w:tcPr>
            <w:tcW w:w="1028" w:type="dxa"/>
            <w:vAlign w:val="center"/>
          </w:tcPr>
          <w:p w14:paraId="164C0A11" w14:textId="41E220C5" w:rsidR="004B3024" w:rsidRDefault="00F211E4" w:rsidP="004B3024">
            <w:pPr>
              <w:jc w:val="center"/>
              <w:rPr>
                <w:rFonts w:ascii="Arial" w:hAnsi="Arial" w:cs="Arial"/>
              </w:rPr>
            </w:pPr>
            <w:r>
              <w:rPr>
                <w:rFonts w:ascii="Arial" w:hAnsi="Arial" w:cs="Arial"/>
              </w:rPr>
              <w:t>n/a</w:t>
            </w:r>
          </w:p>
        </w:tc>
        <w:tc>
          <w:tcPr>
            <w:tcW w:w="1109" w:type="dxa"/>
            <w:vAlign w:val="center"/>
          </w:tcPr>
          <w:p w14:paraId="39BDF350" w14:textId="48238903" w:rsidR="004B3024" w:rsidRDefault="004B3024" w:rsidP="004B3024">
            <w:pPr>
              <w:jc w:val="center"/>
              <w:rPr>
                <w:rFonts w:ascii="Arial" w:hAnsi="Arial" w:cs="Arial"/>
              </w:rPr>
            </w:pPr>
            <w:r>
              <w:rPr>
                <w:rFonts w:ascii="Arial" w:hAnsi="Arial" w:cs="Arial"/>
              </w:rPr>
              <w:t>I</w:t>
            </w:r>
            <w:r w:rsidRPr="00F15BE5">
              <w:rPr>
                <w:rFonts w:ascii="Arial" w:hAnsi="Arial" w:cs="Arial"/>
              </w:rPr>
              <w:t>ncrease</w:t>
            </w:r>
          </w:p>
        </w:tc>
        <w:tc>
          <w:tcPr>
            <w:tcW w:w="6463" w:type="dxa"/>
            <w:vAlign w:val="center"/>
          </w:tcPr>
          <w:p w14:paraId="472C228C" w14:textId="4756DEB3" w:rsidR="004B3024" w:rsidRPr="1182FF59" w:rsidRDefault="004B3024" w:rsidP="00F211E4">
            <w:pPr>
              <w:rPr>
                <w:rFonts w:ascii="Arial" w:hAnsi="Arial" w:cs="Arial"/>
              </w:rPr>
            </w:pPr>
            <w:r>
              <w:rPr>
                <w:rFonts w:ascii="Arial" w:hAnsi="Arial" w:cs="Arial"/>
              </w:rPr>
              <w:t xml:space="preserve">Cockermouth reopened at </w:t>
            </w:r>
            <w:r w:rsidR="00F211E4">
              <w:rPr>
                <w:rFonts w:ascii="Arial" w:hAnsi="Arial" w:cs="Arial"/>
              </w:rPr>
              <w:t xml:space="preserve">end of July </w:t>
            </w:r>
            <w:r w:rsidR="00F211E4" w:rsidRPr="00F211E4">
              <w:rPr>
                <w:rFonts w:ascii="Arial" w:hAnsi="Arial" w:cs="Arial"/>
              </w:rPr>
              <w:t>so the Q2 figure represents August and September.  As a comparison the figure for September 2019</w:t>
            </w:r>
            <w:r w:rsidR="00F211E4">
              <w:rPr>
                <w:rFonts w:ascii="Arial" w:hAnsi="Arial" w:cs="Arial"/>
              </w:rPr>
              <w:t xml:space="preserve"> </w:t>
            </w:r>
            <w:r w:rsidR="00F211E4" w:rsidRPr="00F211E4">
              <w:rPr>
                <w:rFonts w:ascii="Arial" w:hAnsi="Arial" w:cs="Arial"/>
              </w:rPr>
              <w:t xml:space="preserve">was 16200. Membership across both sites is steadily increasing although usage dropped slightly following the introduction of the rule of 6. Some activity still not able to return either due to the limited space available or following the guidance doesn't allow for it to take place safely. </w:t>
            </w:r>
          </w:p>
        </w:tc>
      </w:tr>
      <w:tr w:rsidR="004B3024" w:rsidRPr="002E7893" w14:paraId="1E0FB4B5" w14:textId="77777777" w:rsidTr="00BE54CD">
        <w:trPr>
          <w:trHeight w:val="612"/>
        </w:trPr>
        <w:tc>
          <w:tcPr>
            <w:tcW w:w="3886" w:type="dxa"/>
            <w:vAlign w:val="center"/>
          </w:tcPr>
          <w:p w14:paraId="62883AC3" w14:textId="0446C6BA" w:rsidR="004B3024" w:rsidRPr="00D26961" w:rsidRDefault="004B3024" w:rsidP="004B3024">
            <w:pPr>
              <w:rPr>
                <w:rFonts w:ascii="Arial" w:eastAsia="Times New Roman" w:hAnsi="Arial" w:cs="Arial"/>
                <w:color w:val="000000"/>
                <w:szCs w:val="20"/>
                <w:lang w:eastAsia="en-GB"/>
              </w:rPr>
            </w:pPr>
            <w:r w:rsidRPr="00A7589F">
              <w:rPr>
                <w:rFonts w:ascii="Arial" w:hAnsi="Arial" w:cs="Arial"/>
              </w:rPr>
              <w:lastRenderedPageBreak/>
              <w:t>% of homeless decision</w:t>
            </w:r>
            <w:r>
              <w:rPr>
                <w:rFonts w:ascii="Arial" w:hAnsi="Arial" w:cs="Arial"/>
              </w:rPr>
              <w:t>s made within guideline 56 days</w:t>
            </w:r>
          </w:p>
        </w:tc>
        <w:tc>
          <w:tcPr>
            <w:tcW w:w="1077" w:type="dxa"/>
            <w:vAlign w:val="center"/>
          </w:tcPr>
          <w:p w14:paraId="1F432D00" w14:textId="15E43ABD" w:rsidR="004B3024" w:rsidRPr="00E072DF" w:rsidRDefault="004B3024" w:rsidP="004B3024">
            <w:pPr>
              <w:spacing w:line="259" w:lineRule="auto"/>
              <w:jc w:val="center"/>
              <w:rPr>
                <w:rFonts w:ascii="Arial" w:hAnsi="Arial" w:cs="Arial"/>
              </w:rPr>
            </w:pPr>
            <w:r w:rsidRPr="00E072DF">
              <w:rPr>
                <w:rFonts w:ascii="Arial" w:hAnsi="Arial" w:cs="Arial"/>
              </w:rPr>
              <w:t>100%</w:t>
            </w:r>
          </w:p>
        </w:tc>
        <w:tc>
          <w:tcPr>
            <w:tcW w:w="852" w:type="dxa"/>
            <w:shd w:val="clear" w:color="auto" w:fill="92D050"/>
            <w:vAlign w:val="center"/>
          </w:tcPr>
          <w:p w14:paraId="6F220A86" w14:textId="13A5ECE4" w:rsidR="004B3024" w:rsidRPr="1182FF59" w:rsidRDefault="004B3024" w:rsidP="004B3024">
            <w:pPr>
              <w:jc w:val="center"/>
              <w:rPr>
                <w:rFonts w:ascii="Arial" w:hAnsi="Arial" w:cs="Arial"/>
              </w:rPr>
            </w:pPr>
            <w:r>
              <w:rPr>
                <w:rFonts w:ascii="Arial" w:hAnsi="Arial" w:cs="Arial"/>
              </w:rPr>
              <w:t>100%</w:t>
            </w:r>
          </w:p>
        </w:tc>
        <w:tc>
          <w:tcPr>
            <w:tcW w:w="889" w:type="dxa"/>
            <w:shd w:val="clear" w:color="auto" w:fill="92D050"/>
            <w:vAlign w:val="center"/>
          </w:tcPr>
          <w:p w14:paraId="07FAB95C" w14:textId="38AEF822" w:rsidR="004B3024" w:rsidRPr="1182FF59" w:rsidRDefault="004B3024" w:rsidP="004B3024">
            <w:pPr>
              <w:jc w:val="center"/>
              <w:rPr>
                <w:rFonts w:ascii="Arial" w:hAnsi="Arial" w:cs="Arial"/>
              </w:rPr>
            </w:pPr>
            <w:r>
              <w:rPr>
                <w:rFonts w:ascii="Arial" w:hAnsi="Arial" w:cs="Arial"/>
              </w:rPr>
              <w:t>100%</w:t>
            </w:r>
          </w:p>
        </w:tc>
        <w:tc>
          <w:tcPr>
            <w:tcW w:w="1028" w:type="dxa"/>
            <w:vAlign w:val="center"/>
          </w:tcPr>
          <w:p w14:paraId="30F46C61" w14:textId="5E2EB4EC" w:rsidR="004B3024" w:rsidRPr="004B3024" w:rsidRDefault="004B3024" w:rsidP="004B3024">
            <w:pPr>
              <w:jc w:val="center"/>
              <w:rPr>
                <w:rFonts w:ascii="Arial" w:hAnsi="Arial" w:cs="Arial"/>
                <w:highlight w:val="yellow"/>
              </w:rPr>
            </w:pPr>
            <w:r w:rsidRPr="004B3024">
              <w:rPr>
                <w:rFonts w:ascii="Wingdings 3" w:eastAsia="Wingdings 3" w:hAnsi="Wingdings 3" w:cs="Wingdings 3"/>
                <w:sz w:val="32"/>
                <w:szCs w:val="21"/>
              </w:rPr>
              <w:t></w:t>
            </w:r>
          </w:p>
        </w:tc>
        <w:tc>
          <w:tcPr>
            <w:tcW w:w="1109" w:type="dxa"/>
            <w:vAlign w:val="center"/>
          </w:tcPr>
          <w:p w14:paraId="38A5A982" w14:textId="06F99C78" w:rsidR="004B3024" w:rsidRPr="1182FF59" w:rsidRDefault="004B3024" w:rsidP="004B3024">
            <w:pPr>
              <w:jc w:val="center"/>
              <w:rPr>
                <w:rFonts w:ascii="Arial" w:hAnsi="Arial" w:cs="Arial"/>
              </w:rPr>
            </w:pPr>
            <w:r>
              <w:rPr>
                <w:rFonts w:ascii="Arial" w:hAnsi="Arial" w:cs="Arial"/>
              </w:rPr>
              <w:t>100%</w:t>
            </w:r>
          </w:p>
        </w:tc>
        <w:tc>
          <w:tcPr>
            <w:tcW w:w="6463" w:type="dxa"/>
            <w:vAlign w:val="center"/>
          </w:tcPr>
          <w:p w14:paraId="4664A4B6" w14:textId="69D8C248" w:rsidR="004B3024" w:rsidRPr="1182FF59" w:rsidRDefault="004B3024" w:rsidP="004B3024">
            <w:pPr>
              <w:rPr>
                <w:rFonts w:ascii="Arial" w:hAnsi="Arial" w:cs="Arial"/>
              </w:rPr>
            </w:pPr>
          </w:p>
        </w:tc>
      </w:tr>
      <w:tr w:rsidR="004B3024" w:rsidRPr="002E7893" w14:paraId="4FDF4CBC" w14:textId="77777777" w:rsidTr="00BE54CD">
        <w:trPr>
          <w:trHeight w:val="662"/>
        </w:trPr>
        <w:tc>
          <w:tcPr>
            <w:tcW w:w="3886" w:type="dxa"/>
            <w:vAlign w:val="center"/>
          </w:tcPr>
          <w:p w14:paraId="5B944E62" w14:textId="2B82DE42" w:rsidR="004B3024" w:rsidRPr="00D26961" w:rsidRDefault="004B3024" w:rsidP="004B3024">
            <w:pPr>
              <w:rPr>
                <w:rFonts w:ascii="Arial" w:eastAsia="Times New Roman" w:hAnsi="Arial" w:cs="Arial"/>
                <w:color w:val="000000"/>
                <w:szCs w:val="20"/>
                <w:lang w:eastAsia="en-GB"/>
              </w:rPr>
            </w:pPr>
            <w:r w:rsidRPr="00A7589F">
              <w:rPr>
                <w:rFonts w:ascii="Arial" w:hAnsi="Arial" w:cs="Arial"/>
              </w:rPr>
              <w:t>% of successful homeless preventions and relief outcomes</w:t>
            </w:r>
          </w:p>
        </w:tc>
        <w:tc>
          <w:tcPr>
            <w:tcW w:w="1077" w:type="dxa"/>
            <w:vAlign w:val="center"/>
          </w:tcPr>
          <w:p w14:paraId="638FDC24" w14:textId="5975B4F5" w:rsidR="004B3024" w:rsidRPr="00E072DF" w:rsidRDefault="004B3024" w:rsidP="004B3024">
            <w:pPr>
              <w:spacing w:line="259" w:lineRule="auto"/>
              <w:jc w:val="center"/>
              <w:rPr>
                <w:rFonts w:ascii="Arial" w:hAnsi="Arial" w:cs="Arial"/>
              </w:rPr>
            </w:pPr>
            <w:r>
              <w:rPr>
                <w:rFonts w:ascii="Arial" w:hAnsi="Arial" w:cs="Arial"/>
              </w:rPr>
              <w:t>54%</w:t>
            </w:r>
          </w:p>
        </w:tc>
        <w:tc>
          <w:tcPr>
            <w:tcW w:w="852" w:type="dxa"/>
            <w:shd w:val="clear" w:color="auto" w:fill="92D050"/>
            <w:vAlign w:val="center"/>
          </w:tcPr>
          <w:p w14:paraId="20FD496A" w14:textId="43F460A8" w:rsidR="004B3024" w:rsidRPr="1182FF59" w:rsidRDefault="004B3024" w:rsidP="004B3024">
            <w:pPr>
              <w:jc w:val="center"/>
              <w:rPr>
                <w:rFonts w:ascii="Arial" w:hAnsi="Arial" w:cs="Arial"/>
              </w:rPr>
            </w:pPr>
            <w:r>
              <w:rPr>
                <w:rFonts w:ascii="Arial" w:hAnsi="Arial" w:cs="Arial"/>
              </w:rPr>
              <w:t>56%</w:t>
            </w:r>
          </w:p>
        </w:tc>
        <w:tc>
          <w:tcPr>
            <w:tcW w:w="889" w:type="dxa"/>
            <w:shd w:val="clear" w:color="auto" w:fill="C00000"/>
            <w:vAlign w:val="center"/>
          </w:tcPr>
          <w:p w14:paraId="2FF63669" w14:textId="047716F3" w:rsidR="004B3024" w:rsidRPr="1182FF59" w:rsidRDefault="004B3024" w:rsidP="004B3024">
            <w:pPr>
              <w:jc w:val="center"/>
              <w:rPr>
                <w:rFonts w:ascii="Arial" w:hAnsi="Arial" w:cs="Arial"/>
              </w:rPr>
            </w:pPr>
            <w:r>
              <w:rPr>
                <w:rFonts w:ascii="Arial" w:hAnsi="Arial" w:cs="Arial"/>
              </w:rPr>
              <w:t>43%</w:t>
            </w:r>
          </w:p>
        </w:tc>
        <w:tc>
          <w:tcPr>
            <w:tcW w:w="1028" w:type="dxa"/>
            <w:vAlign w:val="center"/>
          </w:tcPr>
          <w:p w14:paraId="7ED93CB4" w14:textId="10A728A0" w:rsidR="004B3024" w:rsidRPr="004B3024" w:rsidRDefault="004B3024" w:rsidP="004B3024">
            <w:pPr>
              <w:jc w:val="center"/>
              <w:rPr>
                <w:rFonts w:ascii="Arial" w:hAnsi="Arial" w:cs="Arial"/>
                <w:highlight w:val="yellow"/>
              </w:rPr>
            </w:pPr>
            <w:r w:rsidRPr="00610C11">
              <w:rPr>
                <w:rFonts w:ascii="Wingdings 3" w:eastAsia="Wingdings 3" w:hAnsi="Wingdings 3" w:cs="Wingdings 3"/>
                <w:sz w:val="32"/>
                <w:szCs w:val="21"/>
              </w:rPr>
              <w:t></w:t>
            </w:r>
          </w:p>
        </w:tc>
        <w:tc>
          <w:tcPr>
            <w:tcW w:w="1109" w:type="dxa"/>
            <w:vAlign w:val="center"/>
          </w:tcPr>
          <w:p w14:paraId="139217E3" w14:textId="13CB71CB" w:rsidR="004B3024" w:rsidRPr="1182FF59" w:rsidRDefault="004B3024" w:rsidP="004B3024">
            <w:pPr>
              <w:jc w:val="center"/>
              <w:rPr>
                <w:rFonts w:ascii="Arial" w:hAnsi="Arial" w:cs="Arial"/>
              </w:rPr>
            </w:pPr>
            <w:r>
              <w:rPr>
                <w:rFonts w:ascii="Arial" w:hAnsi="Arial" w:cs="Arial"/>
              </w:rPr>
              <w:t>50%</w:t>
            </w:r>
          </w:p>
        </w:tc>
        <w:tc>
          <w:tcPr>
            <w:tcW w:w="6463" w:type="dxa"/>
            <w:vAlign w:val="center"/>
          </w:tcPr>
          <w:p w14:paraId="66AB2CB7" w14:textId="0EA959B4" w:rsidR="004B3024" w:rsidRPr="1182FF59" w:rsidRDefault="00CD24CE" w:rsidP="00CD24CE">
            <w:pPr>
              <w:rPr>
                <w:rFonts w:ascii="Arial" w:hAnsi="Arial" w:cs="Arial"/>
              </w:rPr>
            </w:pPr>
            <w:r>
              <w:rPr>
                <w:rFonts w:ascii="Arial" w:hAnsi="Arial" w:cs="Arial"/>
              </w:rPr>
              <w:t>The impact of C</w:t>
            </w:r>
            <w:r w:rsidRPr="00CD24CE">
              <w:rPr>
                <w:rFonts w:ascii="Arial" w:hAnsi="Arial" w:cs="Arial"/>
              </w:rPr>
              <w:t>ovid-19 requiring all rough sleepers to be accommodated and the availability of suitable supported “move on” accommodation had impacted adversely on this indicator</w:t>
            </w:r>
            <w:r>
              <w:rPr>
                <w:rFonts w:ascii="Arial" w:hAnsi="Arial" w:cs="Arial"/>
              </w:rPr>
              <w:t>.</w:t>
            </w:r>
          </w:p>
        </w:tc>
      </w:tr>
      <w:tr w:rsidR="004B3024" w:rsidRPr="002E7893" w14:paraId="593AD071" w14:textId="77777777" w:rsidTr="00BE54CD">
        <w:trPr>
          <w:trHeight w:val="602"/>
        </w:trPr>
        <w:tc>
          <w:tcPr>
            <w:tcW w:w="3886" w:type="dxa"/>
            <w:vAlign w:val="center"/>
          </w:tcPr>
          <w:p w14:paraId="448FA37C" w14:textId="31F75AC3" w:rsidR="004B3024" w:rsidRPr="00E61E12" w:rsidRDefault="004B3024" w:rsidP="004B3024">
            <w:pPr>
              <w:rPr>
                <w:rFonts w:ascii="Arial" w:eastAsia="Times New Roman" w:hAnsi="Arial" w:cs="Arial"/>
                <w:color w:val="000000"/>
                <w:szCs w:val="20"/>
                <w:highlight w:val="lightGray"/>
                <w:lang w:eastAsia="en-GB"/>
              </w:rPr>
            </w:pPr>
            <w:r w:rsidRPr="009C102B">
              <w:rPr>
                <w:rFonts w:ascii="Arial" w:hAnsi="Arial" w:cs="Arial"/>
              </w:rPr>
              <w:t>Time taken to process Housing B</w:t>
            </w:r>
            <w:r>
              <w:rPr>
                <w:rFonts w:ascii="Arial" w:hAnsi="Arial" w:cs="Arial"/>
              </w:rPr>
              <w:t>enefit new claims (no. of days)</w:t>
            </w:r>
          </w:p>
        </w:tc>
        <w:tc>
          <w:tcPr>
            <w:tcW w:w="1077" w:type="dxa"/>
            <w:vAlign w:val="center"/>
          </w:tcPr>
          <w:p w14:paraId="557FA80F" w14:textId="7267E0CC" w:rsidR="004B3024" w:rsidRPr="00E072DF" w:rsidRDefault="004B3024" w:rsidP="004B3024">
            <w:pPr>
              <w:jc w:val="center"/>
              <w:rPr>
                <w:rFonts w:ascii="Arial" w:hAnsi="Arial" w:cs="Arial"/>
              </w:rPr>
            </w:pPr>
            <w:r>
              <w:rPr>
                <w:rFonts w:ascii="Arial" w:hAnsi="Arial" w:cs="Arial"/>
              </w:rPr>
              <w:t>7</w:t>
            </w:r>
          </w:p>
        </w:tc>
        <w:tc>
          <w:tcPr>
            <w:tcW w:w="852" w:type="dxa"/>
            <w:shd w:val="clear" w:color="auto" w:fill="92D050"/>
            <w:vAlign w:val="center"/>
          </w:tcPr>
          <w:p w14:paraId="1D5F2364" w14:textId="46688EF8" w:rsidR="004B3024" w:rsidRDefault="004B3024" w:rsidP="004B3024">
            <w:pPr>
              <w:jc w:val="center"/>
              <w:rPr>
                <w:rFonts w:ascii="Arial" w:hAnsi="Arial" w:cs="Arial"/>
              </w:rPr>
            </w:pPr>
            <w:r>
              <w:rPr>
                <w:rFonts w:ascii="Arial" w:hAnsi="Arial" w:cs="Arial"/>
              </w:rPr>
              <w:t>13</w:t>
            </w:r>
          </w:p>
        </w:tc>
        <w:tc>
          <w:tcPr>
            <w:tcW w:w="889" w:type="dxa"/>
            <w:shd w:val="clear" w:color="auto" w:fill="92D050"/>
            <w:vAlign w:val="center"/>
          </w:tcPr>
          <w:p w14:paraId="65DD61EE" w14:textId="4B8D7E04" w:rsidR="004B3024" w:rsidRDefault="004B3024" w:rsidP="004B3024">
            <w:pPr>
              <w:jc w:val="center"/>
              <w:rPr>
                <w:rFonts w:ascii="Arial" w:hAnsi="Arial" w:cs="Arial"/>
              </w:rPr>
            </w:pPr>
            <w:r>
              <w:rPr>
                <w:rFonts w:ascii="Arial" w:hAnsi="Arial" w:cs="Arial"/>
              </w:rPr>
              <w:t>11</w:t>
            </w:r>
          </w:p>
        </w:tc>
        <w:tc>
          <w:tcPr>
            <w:tcW w:w="1028" w:type="dxa"/>
            <w:vAlign w:val="center"/>
          </w:tcPr>
          <w:p w14:paraId="1AD52111" w14:textId="757253C4" w:rsidR="004B3024" w:rsidRPr="004B3024" w:rsidRDefault="004B3024" w:rsidP="004B3024">
            <w:pPr>
              <w:jc w:val="center"/>
              <w:rPr>
                <w:rFonts w:ascii="Arial" w:hAnsi="Arial" w:cs="Arial"/>
              </w:rPr>
            </w:pPr>
            <w:r w:rsidRPr="004B3024">
              <w:rPr>
                <w:rFonts w:ascii="Wingdings 3" w:eastAsia="Wingdings 3" w:hAnsi="Wingdings 3" w:cs="Wingdings 3"/>
                <w:sz w:val="32"/>
                <w:szCs w:val="21"/>
              </w:rPr>
              <w:t></w:t>
            </w:r>
          </w:p>
        </w:tc>
        <w:tc>
          <w:tcPr>
            <w:tcW w:w="1109" w:type="dxa"/>
            <w:vAlign w:val="center"/>
          </w:tcPr>
          <w:p w14:paraId="7902E6E9" w14:textId="6F8D4D23" w:rsidR="004B3024" w:rsidRDefault="004B3024" w:rsidP="004B3024">
            <w:pPr>
              <w:jc w:val="center"/>
              <w:rPr>
                <w:rFonts w:ascii="Arial" w:hAnsi="Arial" w:cs="Arial"/>
              </w:rPr>
            </w:pPr>
            <w:r w:rsidRPr="00F15BE5">
              <w:rPr>
                <w:rFonts w:ascii="Arial" w:hAnsi="Arial" w:cs="Arial"/>
              </w:rPr>
              <w:t>15</w:t>
            </w:r>
            <w:r>
              <w:rPr>
                <w:rFonts w:ascii="Arial" w:hAnsi="Arial" w:cs="Arial"/>
              </w:rPr>
              <w:t xml:space="preserve"> days</w:t>
            </w:r>
          </w:p>
        </w:tc>
        <w:tc>
          <w:tcPr>
            <w:tcW w:w="6463" w:type="dxa"/>
            <w:vAlign w:val="center"/>
          </w:tcPr>
          <w:p w14:paraId="7F6177B8" w14:textId="77065C7B" w:rsidR="004B3024" w:rsidRDefault="004B3024" w:rsidP="004B3024">
            <w:pPr>
              <w:rPr>
                <w:rFonts w:ascii="Arial" w:hAnsi="Arial" w:cs="Arial"/>
              </w:rPr>
            </w:pPr>
          </w:p>
        </w:tc>
      </w:tr>
      <w:tr w:rsidR="004B3024" w:rsidRPr="002E7893" w14:paraId="20632616" w14:textId="77777777" w:rsidTr="00BE54CD">
        <w:trPr>
          <w:trHeight w:val="454"/>
        </w:trPr>
        <w:tc>
          <w:tcPr>
            <w:tcW w:w="3886" w:type="dxa"/>
            <w:vAlign w:val="center"/>
          </w:tcPr>
          <w:p w14:paraId="405B6FF8" w14:textId="73B78B93" w:rsidR="004B3024" w:rsidRPr="00E61E12" w:rsidRDefault="004B3024" w:rsidP="004B3024">
            <w:pPr>
              <w:rPr>
                <w:rFonts w:ascii="Arial" w:hAnsi="Arial" w:cs="Arial"/>
                <w:highlight w:val="lightGray"/>
              </w:rPr>
            </w:pPr>
            <w:r w:rsidRPr="009C102B">
              <w:rPr>
                <w:rFonts w:ascii="Arial" w:hAnsi="Arial" w:cs="Arial"/>
              </w:rPr>
              <w:t>Time taken to process Council Tax new claims (no. of days)</w:t>
            </w:r>
          </w:p>
        </w:tc>
        <w:tc>
          <w:tcPr>
            <w:tcW w:w="1077" w:type="dxa"/>
            <w:vAlign w:val="center"/>
          </w:tcPr>
          <w:p w14:paraId="0EE34CAC" w14:textId="209980FE" w:rsidR="004B3024" w:rsidRPr="00E072DF" w:rsidRDefault="004B3024" w:rsidP="004B3024">
            <w:pPr>
              <w:jc w:val="center"/>
              <w:rPr>
                <w:rFonts w:ascii="Arial" w:hAnsi="Arial" w:cs="Arial"/>
              </w:rPr>
            </w:pPr>
            <w:r>
              <w:rPr>
                <w:rFonts w:ascii="Arial" w:hAnsi="Arial" w:cs="Arial"/>
              </w:rPr>
              <w:t>13</w:t>
            </w:r>
          </w:p>
        </w:tc>
        <w:tc>
          <w:tcPr>
            <w:tcW w:w="852" w:type="dxa"/>
            <w:shd w:val="clear" w:color="auto" w:fill="92D050"/>
            <w:vAlign w:val="center"/>
          </w:tcPr>
          <w:p w14:paraId="41011237" w14:textId="1EFDBB46" w:rsidR="004B3024" w:rsidRDefault="004B3024" w:rsidP="004B3024">
            <w:pPr>
              <w:jc w:val="center"/>
              <w:rPr>
                <w:rFonts w:ascii="Arial" w:hAnsi="Arial" w:cs="Arial"/>
              </w:rPr>
            </w:pPr>
            <w:r w:rsidRPr="009B7A73">
              <w:rPr>
                <w:rFonts w:ascii="Arial" w:hAnsi="Arial" w:cs="Arial"/>
              </w:rPr>
              <w:t>20</w:t>
            </w:r>
          </w:p>
        </w:tc>
        <w:tc>
          <w:tcPr>
            <w:tcW w:w="889" w:type="dxa"/>
            <w:shd w:val="clear" w:color="auto" w:fill="92D050"/>
            <w:vAlign w:val="center"/>
          </w:tcPr>
          <w:p w14:paraId="61249681" w14:textId="1A56C875" w:rsidR="004B3024" w:rsidRDefault="004B3024" w:rsidP="004B3024">
            <w:pPr>
              <w:jc w:val="center"/>
              <w:rPr>
                <w:rFonts w:ascii="Arial" w:hAnsi="Arial" w:cs="Arial"/>
              </w:rPr>
            </w:pPr>
            <w:r>
              <w:rPr>
                <w:rFonts w:ascii="Arial" w:hAnsi="Arial" w:cs="Arial"/>
              </w:rPr>
              <w:t>17</w:t>
            </w:r>
          </w:p>
        </w:tc>
        <w:tc>
          <w:tcPr>
            <w:tcW w:w="1028" w:type="dxa"/>
            <w:vAlign w:val="center"/>
          </w:tcPr>
          <w:p w14:paraId="6DC44B27" w14:textId="427E803F" w:rsidR="004B3024" w:rsidRPr="004B3024" w:rsidRDefault="004B3024" w:rsidP="004B3024">
            <w:pPr>
              <w:jc w:val="center"/>
              <w:rPr>
                <w:rFonts w:ascii="Arial" w:hAnsi="Arial" w:cs="Arial"/>
              </w:rPr>
            </w:pPr>
            <w:r w:rsidRPr="004B3024">
              <w:rPr>
                <w:rFonts w:ascii="Wingdings 3" w:eastAsia="Wingdings 3" w:hAnsi="Wingdings 3" w:cs="Wingdings 3"/>
                <w:sz w:val="32"/>
                <w:szCs w:val="21"/>
              </w:rPr>
              <w:t></w:t>
            </w:r>
          </w:p>
        </w:tc>
        <w:tc>
          <w:tcPr>
            <w:tcW w:w="1109" w:type="dxa"/>
            <w:vAlign w:val="center"/>
          </w:tcPr>
          <w:p w14:paraId="53AEBA7D" w14:textId="79593146" w:rsidR="004B3024" w:rsidRDefault="004B3024" w:rsidP="004B3024">
            <w:pPr>
              <w:jc w:val="center"/>
              <w:rPr>
                <w:rFonts w:ascii="Arial" w:hAnsi="Arial" w:cs="Arial"/>
              </w:rPr>
            </w:pPr>
            <w:r w:rsidRPr="00F15BE5">
              <w:rPr>
                <w:rFonts w:ascii="Arial" w:hAnsi="Arial" w:cs="Arial"/>
              </w:rPr>
              <w:t>20</w:t>
            </w:r>
            <w:r>
              <w:rPr>
                <w:rFonts w:ascii="Arial" w:hAnsi="Arial" w:cs="Arial"/>
              </w:rPr>
              <w:t xml:space="preserve"> days</w:t>
            </w:r>
          </w:p>
        </w:tc>
        <w:tc>
          <w:tcPr>
            <w:tcW w:w="6463" w:type="dxa"/>
            <w:vAlign w:val="center"/>
          </w:tcPr>
          <w:p w14:paraId="71352F44" w14:textId="7967E8ED" w:rsidR="004B3024" w:rsidRDefault="004B3024" w:rsidP="004B3024">
            <w:pPr>
              <w:rPr>
                <w:rFonts w:ascii="Arial" w:hAnsi="Arial" w:cs="Arial"/>
              </w:rPr>
            </w:pPr>
          </w:p>
        </w:tc>
      </w:tr>
      <w:tr w:rsidR="004B3024" w:rsidRPr="002E7893" w14:paraId="08BF4033" w14:textId="77777777" w:rsidTr="00BE54CD">
        <w:trPr>
          <w:trHeight w:val="454"/>
        </w:trPr>
        <w:tc>
          <w:tcPr>
            <w:tcW w:w="3886" w:type="dxa"/>
            <w:vAlign w:val="center"/>
          </w:tcPr>
          <w:p w14:paraId="16B8E081" w14:textId="3DCFC99B" w:rsidR="004B3024" w:rsidRPr="00F7207B" w:rsidDel="00461EB3" w:rsidRDefault="004B3024" w:rsidP="004B3024">
            <w:pPr>
              <w:rPr>
                <w:rFonts w:ascii="Arial" w:eastAsia="Times New Roman" w:hAnsi="Arial" w:cs="Arial"/>
                <w:color w:val="000000"/>
                <w:lang w:eastAsia="en-GB"/>
              </w:rPr>
            </w:pPr>
            <w:r w:rsidRPr="00F15BE5">
              <w:rPr>
                <w:rFonts w:ascii="Arial" w:eastAsia="Times New Roman" w:hAnsi="Arial" w:cs="Arial"/>
                <w:lang w:eastAsia="en-GB"/>
              </w:rPr>
              <w:t>Time taken to process Housing Benefit/Council Tax change of circumstances (no. of days)</w:t>
            </w:r>
          </w:p>
        </w:tc>
        <w:tc>
          <w:tcPr>
            <w:tcW w:w="1077" w:type="dxa"/>
            <w:vAlign w:val="center"/>
          </w:tcPr>
          <w:p w14:paraId="4D89656B" w14:textId="1AB54E45" w:rsidR="004B3024" w:rsidRPr="00E072DF" w:rsidRDefault="004B3024" w:rsidP="004B3024">
            <w:pPr>
              <w:jc w:val="center"/>
              <w:rPr>
                <w:rFonts w:ascii="Arial" w:hAnsi="Arial" w:cs="Arial"/>
              </w:rPr>
            </w:pPr>
            <w:r>
              <w:rPr>
                <w:rFonts w:ascii="Arial" w:hAnsi="Arial" w:cs="Arial"/>
              </w:rPr>
              <w:t>3</w:t>
            </w:r>
          </w:p>
        </w:tc>
        <w:tc>
          <w:tcPr>
            <w:tcW w:w="852" w:type="dxa"/>
            <w:shd w:val="clear" w:color="auto" w:fill="92D050"/>
            <w:vAlign w:val="center"/>
          </w:tcPr>
          <w:p w14:paraId="2B048853" w14:textId="01388CC9" w:rsidR="004B3024" w:rsidRPr="00B90892" w:rsidRDefault="004B3024" w:rsidP="004B3024">
            <w:pPr>
              <w:jc w:val="center"/>
              <w:rPr>
                <w:rFonts w:ascii="Arial" w:hAnsi="Arial" w:cs="Arial"/>
              </w:rPr>
            </w:pPr>
            <w:r w:rsidRPr="009B7A73">
              <w:rPr>
                <w:rFonts w:ascii="Arial" w:hAnsi="Arial" w:cs="Arial"/>
              </w:rPr>
              <w:t>3</w:t>
            </w:r>
          </w:p>
        </w:tc>
        <w:tc>
          <w:tcPr>
            <w:tcW w:w="889" w:type="dxa"/>
            <w:shd w:val="clear" w:color="auto" w:fill="92D050"/>
            <w:vAlign w:val="center"/>
          </w:tcPr>
          <w:p w14:paraId="67EE9272" w14:textId="4E7B5628" w:rsidR="004B3024" w:rsidRPr="00B90892" w:rsidRDefault="004B3024" w:rsidP="004B3024">
            <w:pPr>
              <w:jc w:val="center"/>
              <w:rPr>
                <w:rFonts w:ascii="Arial" w:hAnsi="Arial" w:cs="Arial"/>
              </w:rPr>
            </w:pPr>
            <w:r>
              <w:rPr>
                <w:rFonts w:ascii="Arial" w:hAnsi="Arial" w:cs="Arial"/>
              </w:rPr>
              <w:t>4</w:t>
            </w:r>
          </w:p>
        </w:tc>
        <w:tc>
          <w:tcPr>
            <w:tcW w:w="1028" w:type="dxa"/>
            <w:vAlign w:val="center"/>
          </w:tcPr>
          <w:p w14:paraId="302158D6" w14:textId="2EF1AF30" w:rsidR="004B3024" w:rsidRPr="004B3024" w:rsidRDefault="004B3024" w:rsidP="004B3024">
            <w:pPr>
              <w:jc w:val="center"/>
              <w:rPr>
                <w:rFonts w:ascii="Arial" w:hAnsi="Arial" w:cs="Arial"/>
                <w:highlight w:val="yellow"/>
              </w:rPr>
            </w:pPr>
            <w:r w:rsidRPr="00610C11">
              <w:rPr>
                <w:rFonts w:ascii="Wingdings 3" w:eastAsia="Wingdings 3" w:hAnsi="Wingdings 3" w:cs="Wingdings 3"/>
                <w:sz w:val="32"/>
                <w:szCs w:val="21"/>
              </w:rPr>
              <w:t></w:t>
            </w:r>
          </w:p>
        </w:tc>
        <w:tc>
          <w:tcPr>
            <w:tcW w:w="1109" w:type="dxa"/>
            <w:vAlign w:val="center"/>
          </w:tcPr>
          <w:p w14:paraId="46750564" w14:textId="647D25D5" w:rsidR="004B3024" w:rsidRPr="00B90892" w:rsidRDefault="004B3024" w:rsidP="004B3024">
            <w:pPr>
              <w:jc w:val="center"/>
              <w:rPr>
                <w:rFonts w:ascii="Arial" w:hAnsi="Arial" w:cs="Arial"/>
              </w:rPr>
            </w:pPr>
            <w:r w:rsidRPr="00F15BE5">
              <w:rPr>
                <w:rFonts w:ascii="Arial" w:hAnsi="Arial" w:cs="Arial"/>
              </w:rPr>
              <w:t>4</w:t>
            </w:r>
            <w:r>
              <w:rPr>
                <w:rFonts w:ascii="Arial" w:hAnsi="Arial" w:cs="Arial"/>
              </w:rPr>
              <w:t xml:space="preserve"> days</w:t>
            </w:r>
          </w:p>
        </w:tc>
        <w:tc>
          <w:tcPr>
            <w:tcW w:w="6463" w:type="dxa"/>
            <w:vAlign w:val="center"/>
          </w:tcPr>
          <w:p w14:paraId="125CAF56" w14:textId="4BAC8729" w:rsidR="004B3024" w:rsidRPr="00B90892" w:rsidRDefault="004B3024" w:rsidP="004B3024">
            <w:pPr>
              <w:rPr>
                <w:rFonts w:ascii="Arial" w:hAnsi="Arial" w:cs="Arial"/>
              </w:rPr>
            </w:pPr>
          </w:p>
        </w:tc>
      </w:tr>
    </w:tbl>
    <w:p w14:paraId="76835B0A" w14:textId="77777777" w:rsidR="004909F0" w:rsidRDefault="004909F0" w:rsidP="004909F0"/>
    <w:p w14:paraId="284894D5" w14:textId="77777777" w:rsidR="004909F0" w:rsidRDefault="004909F0" w:rsidP="004909F0">
      <w:pPr>
        <w:rPr>
          <w:rFonts w:ascii="Arial" w:hAnsi="Arial" w:cs="Arial"/>
          <w:bCs/>
          <w:sz w:val="24"/>
          <w:szCs w:val="24"/>
        </w:rPr>
      </w:pPr>
    </w:p>
    <w:p w14:paraId="03826F26" w14:textId="77777777" w:rsidR="004909F0" w:rsidRDefault="004909F0" w:rsidP="004909F0">
      <w:pPr>
        <w:rPr>
          <w:rFonts w:ascii="Arial" w:hAnsi="Arial" w:cs="Arial"/>
          <w:sz w:val="24"/>
        </w:rPr>
      </w:pPr>
    </w:p>
    <w:sectPr w:rsidR="004909F0" w:rsidSect="00021377">
      <w:pgSz w:w="16839" w:h="11907" w:orient="landscape" w:code="9"/>
      <w:pgMar w:top="1135" w:right="1168" w:bottom="1134" w:left="851"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E8F18" w14:textId="77777777" w:rsidR="0017434E" w:rsidRDefault="0017434E" w:rsidP="00B80396">
      <w:pPr>
        <w:spacing w:after="0" w:line="240" w:lineRule="auto"/>
      </w:pPr>
      <w:r>
        <w:separator/>
      </w:r>
    </w:p>
  </w:endnote>
  <w:endnote w:type="continuationSeparator" w:id="0">
    <w:p w14:paraId="381336B2" w14:textId="77777777" w:rsidR="0017434E" w:rsidRDefault="0017434E" w:rsidP="00B8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DE25" w14:textId="77777777" w:rsidR="0017434E" w:rsidRDefault="00174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373834"/>
      <w:docPartObj>
        <w:docPartGallery w:val="Page Numbers (Bottom of Page)"/>
        <w:docPartUnique/>
      </w:docPartObj>
    </w:sdtPr>
    <w:sdtEndPr>
      <w:rPr>
        <w:rFonts w:ascii="Arial" w:hAnsi="Arial" w:cs="Arial"/>
        <w:noProof/>
        <w:color w:val="000000" w:themeColor="text1"/>
        <w:sz w:val="20"/>
      </w:rPr>
    </w:sdtEndPr>
    <w:sdtContent>
      <w:p w14:paraId="6B0DED3F" w14:textId="21E48FE4" w:rsidR="0017434E" w:rsidRPr="000E23D1" w:rsidRDefault="0017434E">
        <w:pPr>
          <w:pStyle w:val="Footer"/>
          <w:jc w:val="right"/>
          <w:rPr>
            <w:rFonts w:ascii="Arial" w:hAnsi="Arial" w:cs="Arial"/>
            <w:color w:val="000000" w:themeColor="text1"/>
            <w:sz w:val="20"/>
          </w:rPr>
        </w:pPr>
        <w:r w:rsidRPr="000E23D1">
          <w:rPr>
            <w:rFonts w:ascii="Arial" w:hAnsi="Arial" w:cs="Arial"/>
            <w:color w:val="000000" w:themeColor="text1"/>
            <w:sz w:val="20"/>
          </w:rPr>
          <w:fldChar w:fldCharType="begin"/>
        </w:r>
        <w:r w:rsidRPr="000E23D1">
          <w:rPr>
            <w:rFonts w:ascii="Arial" w:hAnsi="Arial" w:cs="Arial"/>
            <w:color w:val="000000" w:themeColor="text1"/>
            <w:sz w:val="20"/>
          </w:rPr>
          <w:instrText xml:space="preserve"> PAGE   \* MERGEFORMAT </w:instrText>
        </w:r>
        <w:r w:rsidRPr="000E23D1">
          <w:rPr>
            <w:rFonts w:ascii="Arial" w:hAnsi="Arial" w:cs="Arial"/>
            <w:color w:val="000000" w:themeColor="text1"/>
            <w:sz w:val="20"/>
          </w:rPr>
          <w:fldChar w:fldCharType="separate"/>
        </w:r>
        <w:r w:rsidR="00240E6F">
          <w:rPr>
            <w:rFonts w:ascii="Arial" w:hAnsi="Arial" w:cs="Arial"/>
            <w:noProof/>
            <w:color w:val="000000" w:themeColor="text1"/>
            <w:sz w:val="20"/>
          </w:rPr>
          <w:t>2</w:t>
        </w:r>
        <w:r w:rsidRPr="000E23D1">
          <w:rPr>
            <w:rFonts w:ascii="Arial" w:hAnsi="Arial" w:cs="Arial"/>
            <w:noProof/>
            <w:color w:val="000000" w:themeColor="text1"/>
            <w:sz w:val="20"/>
          </w:rPr>
          <w:fldChar w:fldCharType="end"/>
        </w:r>
      </w:p>
    </w:sdtContent>
  </w:sdt>
  <w:p w14:paraId="7FD18C84" w14:textId="77777777" w:rsidR="0017434E" w:rsidRDefault="00174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E9DF" w14:textId="77777777" w:rsidR="0017434E" w:rsidRDefault="00174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8D3F8" w14:textId="77777777" w:rsidR="0017434E" w:rsidRDefault="0017434E" w:rsidP="00B80396">
      <w:pPr>
        <w:spacing w:after="0" w:line="240" w:lineRule="auto"/>
      </w:pPr>
      <w:r>
        <w:separator/>
      </w:r>
    </w:p>
  </w:footnote>
  <w:footnote w:type="continuationSeparator" w:id="0">
    <w:p w14:paraId="0B3536E1" w14:textId="77777777" w:rsidR="0017434E" w:rsidRDefault="0017434E" w:rsidP="00B80396">
      <w:pPr>
        <w:spacing w:after="0" w:line="240" w:lineRule="auto"/>
      </w:pPr>
      <w:r>
        <w:continuationSeparator/>
      </w:r>
    </w:p>
  </w:footnote>
  <w:footnote w:id="1">
    <w:p w14:paraId="29A3954D" w14:textId="576DE3D6" w:rsidR="0017434E" w:rsidRDefault="0017434E" w:rsidP="00603042">
      <w:pPr>
        <w:pStyle w:val="FootnoteText"/>
        <w:spacing w:after="40"/>
      </w:pPr>
      <w:r>
        <w:rPr>
          <w:rStyle w:val="FootnoteReference"/>
        </w:rPr>
        <w:footnoteRef/>
      </w:r>
      <w:r>
        <w:t xml:space="preserve"> </w:t>
      </w:r>
      <w:r w:rsidRPr="0039442F">
        <w:rPr>
          <w:rFonts w:ascii="Arial" w:hAnsi="Arial" w:cs="Arial"/>
          <w:b/>
        </w:rPr>
        <w:t>No</w:t>
      </w:r>
      <w:r>
        <w:rPr>
          <w:rFonts w:ascii="Arial" w:hAnsi="Arial" w:cs="Arial"/>
          <w:b/>
        </w:rPr>
        <w:t xml:space="preserve"> fixed target figure</w:t>
      </w:r>
      <w:r>
        <w:rPr>
          <w:rFonts w:ascii="Arial" w:hAnsi="Arial" w:cs="Arial"/>
        </w:rPr>
        <w:t>. T</w:t>
      </w:r>
      <w:r w:rsidRPr="00B275F1">
        <w:rPr>
          <w:rFonts w:ascii="Arial" w:hAnsi="Arial" w:cs="Arial"/>
        </w:rPr>
        <w:t xml:space="preserve">he pandemic situation has had a significant impact on </w:t>
      </w:r>
      <w:r>
        <w:rPr>
          <w:rFonts w:ascii="Arial" w:hAnsi="Arial" w:cs="Arial"/>
        </w:rPr>
        <w:t>a number of</w:t>
      </w:r>
      <w:r w:rsidRPr="00B275F1">
        <w:rPr>
          <w:rFonts w:ascii="Arial" w:hAnsi="Arial" w:cs="Arial"/>
        </w:rPr>
        <w:t xml:space="preserve"> council services </w:t>
      </w:r>
      <w:r>
        <w:rPr>
          <w:rFonts w:ascii="Arial" w:hAnsi="Arial" w:cs="Arial"/>
        </w:rPr>
        <w:t>making target setting in some cases very difficult. In these cases we are not attributing a red, amber or green performance rating but will be tracking trends in performance and comparing to previous years where appropriate rather than measuring against a fixed target figure.</w:t>
      </w:r>
    </w:p>
  </w:footnote>
  <w:footnote w:id="2">
    <w:p w14:paraId="74B7A417" w14:textId="0CA5BA3A" w:rsidR="0017434E" w:rsidRPr="00603042" w:rsidRDefault="0017434E">
      <w:pPr>
        <w:pStyle w:val="FootnoteText"/>
        <w:rPr>
          <w:rFonts w:ascii="Arial" w:hAnsi="Arial" w:cs="Arial"/>
        </w:rPr>
      </w:pPr>
      <w:r w:rsidRPr="00603042">
        <w:rPr>
          <w:rStyle w:val="FootnoteReference"/>
          <w:rFonts w:ascii="Arial" w:hAnsi="Arial" w:cs="Arial"/>
        </w:rPr>
        <w:footnoteRef/>
      </w:r>
      <w:r w:rsidRPr="00603042">
        <w:rPr>
          <w:rFonts w:ascii="Arial" w:hAnsi="Arial" w:cs="Arial"/>
        </w:rPr>
        <w:t xml:space="preserve"> </w:t>
      </w:r>
      <w:r w:rsidRPr="00603042">
        <w:rPr>
          <w:rFonts w:ascii="Arial" w:hAnsi="Arial" w:cs="Arial"/>
          <w:b/>
        </w:rPr>
        <w:t>No new data available at the time of reporting</w:t>
      </w:r>
      <w:r w:rsidRPr="00603042">
        <w:rPr>
          <w:rFonts w:ascii="Arial" w:hAnsi="Arial" w:cs="Arial"/>
        </w:rPr>
        <w:t>.  Some of these measures are only reported once a year, two have a time lag on the data. The ongoing pandemic situation has also meant that there is no data available for certain indicators for Q1 – in particular for leisure centre usage as centres remained closed until the end of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96263" w14:textId="77777777" w:rsidR="0017434E" w:rsidRDefault="00174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2947" w14:textId="54CE4323" w:rsidR="0017434E" w:rsidRDefault="00174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69B09" w14:textId="77777777" w:rsidR="0017434E" w:rsidRDefault="00174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00452"/>
    <w:multiLevelType w:val="hybridMultilevel"/>
    <w:tmpl w:val="EF16E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B654CC7"/>
    <w:multiLevelType w:val="hybridMultilevel"/>
    <w:tmpl w:val="0958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B42FBA"/>
    <w:multiLevelType w:val="hybridMultilevel"/>
    <w:tmpl w:val="3FA6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701EB"/>
    <w:multiLevelType w:val="hybridMultilevel"/>
    <w:tmpl w:val="A5EC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14D03"/>
    <w:multiLevelType w:val="hybridMultilevel"/>
    <w:tmpl w:val="7F76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2A"/>
    <w:rsid w:val="00006AD2"/>
    <w:rsid w:val="000079A3"/>
    <w:rsid w:val="000079C3"/>
    <w:rsid w:val="000116B7"/>
    <w:rsid w:val="000117C6"/>
    <w:rsid w:val="00011DFC"/>
    <w:rsid w:val="000121CB"/>
    <w:rsid w:val="00021377"/>
    <w:rsid w:val="00022272"/>
    <w:rsid w:val="000270FC"/>
    <w:rsid w:val="000300A7"/>
    <w:rsid w:val="00030B9B"/>
    <w:rsid w:val="000311FA"/>
    <w:rsid w:val="00032BCB"/>
    <w:rsid w:val="000353C3"/>
    <w:rsid w:val="0003542B"/>
    <w:rsid w:val="00035704"/>
    <w:rsid w:val="000376A1"/>
    <w:rsid w:val="00050CC2"/>
    <w:rsid w:val="000557AD"/>
    <w:rsid w:val="00060930"/>
    <w:rsid w:val="000650CE"/>
    <w:rsid w:val="00074B59"/>
    <w:rsid w:val="00075B66"/>
    <w:rsid w:val="00077F46"/>
    <w:rsid w:val="0008097F"/>
    <w:rsid w:val="00096F80"/>
    <w:rsid w:val="000A3955"/>
    <w:rsid w:val="000A4573"/>
    <w:rsid w:val="000B1939"/>
    <w:rsid w:val="000B2E8C"/>
    <w:rsid w:val="000B4279"/>
    <w:rsid w:val="000B5A76"/>
    <w:rsid w:val="000C512A"/>
    <w:rsid w:val="000E06A5"/>
    <w:rsid w:val="000E23D1"/>
    <w:rsid w:val="000F0EC3"/>
    <w:rsid w:val="000F6F22"/>
    <w:rsid w:val="00102495"/>
    <w:rsid w:val="0011710A"/>
    <w:rsid w:val="00121906"/>
    <w:rsid w:val="00122D91"/>
    <w:rsid w:val="001303F1"/>
    <w:rsid w:val="001316FE"/>
    <w:rsid w:val="001321A0"/>
    <w:rsid w:val="001328FF"/>
    <w:rsid w:val="00132994"/>
    <w:rsid w:val="00133806"/>
    <w:rsid w:val="001526AA"/>
    <w:rsid w:val="0015536B"/>
    <w:rsid w:val="0017434E"/>
    <w:rsid w:val="001761EC"/>
    <w:rsid w:val="00176393"/>
    <w:rsid w:val="00180254"/>
    <w:rsid w:val="001866FA"/>
    <w:rsid w:val="001868DD"/>
    <w:rsid w:val="00195E10"/>
    <w:rsid w:val="00197385"/>
    <w:rsid w:val="00197C37"/>
    <w:rsid w:val="001A0DE2"/>
    <w:rsid w:val="001A144F"/>
    <w:rsid w:val="001B0F23"/>
    <w:rsid w:val="001C1ED2"/>
    <w:rsid w:val="001C2684"/>
    <w:rsid w:val="001C64A5"/>
    <w:rsid w:val="001C7B79"/>
    <w:rsid w:val="001D4F6B"/>
    <w:rsid w:val="001E5CF6"/>
    <w:rsid w:val="00210563"/>
    <w:rsid w:val="00210BDC"/>
    <w:rsid w:val="00210D90"/>
    <w:rsid w:val="0021109C"/>
    <w:rsid w:val="00215ADB"/>
    <w:rsid w:val="002173FF"/>
    <w:rsid w:val="00222EC5"/>
    <w:rsid w:val="00233DBF"/>
    <w:rsid w:val="00234315"/>
    <w:rsid w:val="00240E6F"/>
    <w:rsid w:val="00241FC9"/>
    <w:rsid w:val="00244854"/>
    <w:rsid w:val="0025355D"/>
    <w:rsid w:val="00254F7D"/>
    <w:rsid w:val="00256859"/>
    <w:rsid w:val="00280A1F"/>
    <w:rsid w:val="00281A57"/>
    <w:rsid w:val="0029326B"/>
    <w:rsid w:val="002A40EA"/>
    <w:rsid w:val="002A75AD"/>
    <w:rsid w:val="002B777A"/>
    <w:rsid w:val="002C3B94"/>
    <w:rsid w:val="002C77A3"/>
    <w:rsid w:val="002D290D"/>
    <w:rsid w:val="002D605C"/>
    <w:rsid w:val="002E08F4"/>
    <w:rsid w:val="002E0A47"/>
    <w:rsid w:val="002E68A4"/>
    <w:rsid w:val="002F17DA"/>
    <w:rsid w:val="002F2B3B"/>
    <w:rsid w:val="00301447"/>
    <w:rsid w:val="003027BF"/>
    <w:rsid w:val="00303CD6"/>
    <w:rsid w:val="003065D5"/>
    <w:rsid w:val="00307258"/>
    <w:rsid w:val="00307DB6"/>
    <w:rsid w:val="0031240D"/>
    <w:rsid w:val="00321C32"/>
    <w:rsid w:val="003266E1"/>
    <w:rsid w:val="0033236B"/>
    <w:rsid w:val="00334262"/>
    <w:rsid w:val="00336D82"/>
    <w:rsid w:val="003410EB"/>
    <w:rsid w:val="0034591C"/>
    <w:rsid w:val="003629AE"/>
    <w:rsid w:val="0036521B"/>
    <w:rsid w:val="0037085D"/>
    <w:rsid w:val="00372D9F"/>
    <w:rsid w:val="00373687"/>
    <w:rsid w:val="00374E3E"/>
    <w:rsid w:val="00382696"/>
    <w:rsid w:val="00384C94"/>
    <w:rsid w:val="00385192"/>
    <w:rsid w:val="003906C0"/>
    <w:rsid w:val="00393627"/>
    <w:rsid w:val="0039442F"/>
    <w:rsid w:val="003A7CAD"/>
    <w:rsid w:val="003A7E8F"/>
    <w:rsid w:val="003B67C1"/>
    <w:rsid w:val="003C26B4"/>
    <w:rsid w:val="003D7636"/>
    <w:rsid w:val="003E4A30"/>
    <w:rsid w:val="003F22B9"/>
    <w:rsid w:val="00403A7D"/>
    <w:rsid w:val="00405189"/>
    <w:rsid w:val="00410129"/>
    <w:rsid w:val="0041378A"/>
    <w:rsid w:val="00431990"/>
    <w:rsid w:val="004375DC"/>
    <w:rsid w:val="00444D04"/>
    <w:rsid w:val="00450208"/>
    <w:rsid w:val="00454AB8"/>
    <w:rsid w:val="00457E7F"/>
    <w:rsid w:val="00461E48"/>
    <w:rsid w:val="004640D8"/>
    <w:rsid w:val="00480A19"/>
    <w:rsid w:val="004811F7"/>
    <w:rsid w:val="004846EF"/>
    <w:rsid w:val="00490506"/>
    <w:rsid w:val="004909F0"/>
    <w:rsid w:val="004924D8"/>
    <w:rsid w:val="00495C28"/>
    <w:rsid w:val="004A23CE"/>
    <w:rsid w:val="004A48AB"/>
    <w:rsid w:val="004A60F1"/>
    <w:rsid w:val="004B3024"/>
    <w:rsid w:val="004C5B92"/>
    <w:rsid w:val="004C5E7C"/>
    <w:rsid w:val="004D0446"/>
    <w:rsid w:val="004D11DC"/>
    <w:rsid w:val="004E2B74"/>
    <w:rsid w:val="004E455C"/>
    <w:rsid w:val="004E5B55"/>
    <w:rsid w:val="004F039B"/>
    <w:rsid w:val="00501655"/>
    <w:rsid w:val="00501AB8"/>
    <w:rsid w:val="00503568"/>
    <w:rsid w:val="005039FA"/>
    <w:rsid w:val="00507347"/>
    <w:rsid w:val="005153B3"/>
    <w:rsid w:val="00515C58"/>
    <w:rsid w:val="00524760"/>
    <w:rsid w:val="0053129E"/>
    <w:rsid w:val="00545ADC"/>
    <w:rsid w:val="00545BE5"/>
    <w:rsid w:val="00547161"/>
    <w:rsid w:val="005471D7"/>
    <w:rsid w:val="00551011"/>
    <w:rsid w:val="00555156"/>
    <w:rsid w:val="00555A19"/>
    <w:rsid w:val="0057059A"/>
    <w:rsid w:val="00572DCD"/>
    <w:rsid w:val="00573C5D"/>
    <w:rsid w:val="00581938"/>
    <w:rsid w:val="005858EA"/>
    <w:rsid w:val="00585EE6"/>
    <w:rsid w:val="005917A1"/>
    <w:rsid w:val="00592760"/>
    <w:rsid w:val="00596057"/>
    <w:rsid w:val="00597C44"/>
    <w:rsid w:val="00597C75"/>
    <w:rsid w:val="005A0669"/>
    <w:rsid w:val="005A188B"/>
    <w:rsid w:val="005A26DE"/>
    <w:rsid w:val="005A3644"/>
    <w:rsid w:val="005B03DE"/>
    <w:rsid w:val="005B1C3A"/>
    <w:rsid w:val="005B62B9"/>
    <w:rsid w:val="005C1FB6"/>
    <w:rsid w:val="005C315D"/>
    <w:rsid w:val="005D2508"/>
    <w:rsid w:val="005D2FF0"/>
    <w:rsid w:val="005D3036"/>
    <w:rsid w:val="005D5BD4"/>
    <w:rsid w:val="005E37BF"/>
    <w:rsid w:val="005F48D0"/>
    <w:rsid w:val="005F773A"/>
    <w:rsid w:val="0060238C"/>
    <w:rsid w:val="00603042"/>
    <w:rsid w:val="0060783C"/>
    <w:rsid w:val="00607B8D"/>
    <w:rsid w:val="00610C11"/>
    <w:rsid w:val="00611649"/>
    <w:rsid w:val="0061203F"/>
    <w:rsid w:val="00642836"/>
    <w:rsid w:val="00653849"/>
    <w:rsid w:val="00654C2D"/>
    <w:rsid w:val="00657E40"/>
    <w:rsid w:val="00662A3C"/>
    <w:rsid w:val="00667EC4"/>
    <w:rsid w:val="0067211F"/>
    <w:rsid w:val="0067402C"/>
    <w:rsid w:val="006760CC"/>
    <w:rsid w:val="006768B8"/>
    <w:rsid w:val="006811B4"/>
    <w:rsid w:val="00686FE2"/>
    <w:rsid w:val="00687FA4"/>
    <w:rsid w:val="006A58B5"/>
    <w:rsid w:val="006B7077"/>
    <w:rsid w:val="006C0993"/>
    <w:rsid w:val="006C2685"/>
    <w:rsid w:val="006C3663"/>
    <w:rsid w:val="006C55CC"/>
    <w:rsid w:val="006D0678"/>
    <w:rsid w:val="006D3B0E"/>
    <w:rsid w:val="006D48CD"/>
    <w:rsid w:val="006D7F90"/>
    <w:rsid w:val="006E25B3"/>
    <w:rsid w:val="006E4BF6"/>
    <w:rsid w:val="006E7C1F"/>
    <w:rsid w:val="007000EC"/>
    <w:rsid w:val="00710CD2"/>
    <w:rsid w:val="0071400A"/>
    <w:rsid w:val="0072380A"/>
    <w:rsid w:val="007262A2"/>
    <w:rsid w:val="00726498"/>
    <w:rsid w:val="0072748C"/>
    <w:rsid w:val="007326CE"/>
    <w:rsid w:val="00734D3D"/>
    <w:rsid w:val="00742378"/>
    <w:rsid w:val="0074373E"/>
    <w:rsid w:val="00751876"/>
    <w:rsid w:val="00752088"/>
    <w:rsid w:val="007542C2"/>
    <w:rsid w:val="00754CE3"/>
    <w:rsid w:val="0076048A"/>
    <w:rsid w:val="00785F35"/>
    <w:rsid w:val="00791AA7"/>
    <w:rsid w:val="00796540"/>
    <w:rsid w:val="007A04D8"/>
    <w:rsid w:val="007A3098"/>
    <w:rsid w:val="007A4EF6"/>
    <w:rsid w:val="007A602E"/>
    <w:rsid w:val="007A76E0"/>
    <w:rsid w:val="007B189B"/>
    <w:rsid w:val="007B3440"/>
    <w:rsid w:val="007B4087"/>
    <w:rsid w:val="007B72BE"/>
    <w:rsid w:val="007C573D"/>
    <w:rsid w:val="007C5A62"/>
    <w:rsid w:val="007C69EE"/>
    <w:rsid w:val="007D3C37"/>
    <w:rsid w:val="007E64D4"/>
    <w:rsid w:val="007F0F1D"/>
    <w:rsid w:val="007F4334"/>
    <w:rsid w:val="00805C2F"/>
    <w:rsid w:val="008179C9"/>
    <w:rsid w:val="00820E9C"/>
    <w:rsid w:val="00822051"/>
    <w:rsid w:val="008225C7"/>
    <w:rsid w:val="00822A6A"/>
    <w:rsid w:val="00823A27"/>
    <w:rsid w:val="00825A0A"/>
    <w:rsid w:val="008302CE"/>
    <w:rsid w:val="008312A9"/>
    <w:rsid w:val="00836D2D"/>
    <w:rsid w:val="00840F1B"/>
    <w:rsid w:val="00844AB7"/>
    <w:rsid w:val="0085152D"/>
    <w:rsid w:val="00855842"/>
    <w:rsid w:val="00863B74"/>
    <w:rsid w:val="00863DDD"/>
    <w:rsid w:val="00864C2A"/>
    <w:rsid w:val="00870308"/>
    <w:rsid w:val="00873729"/>
    <w:rsid w:val="00873C14"/>
    <w:rsid w:val="00893A9D"/>
    <w:rsid w:val="00894B6A"/>
    <w:rsid w:val="008961AA"/>
    <w:rsid w:val="008A12C2"/>
    <w:rsid w:val="008A1CD3"/>
    <w:rsid w:val="008A4669"/>
    <w:rsid w:val="008A62B0"/>
    <w:rsid w:val="008B51FC"/>
    <w:rsid w:val="008B6466"/>
    <w:rsid w:val="008B6EC7"/>
    <w:rsid w:val="008C0DF7"/>
    <w:rsid w:val="008C36D8"/>
    <w:rsid w:val="008C3B37"/>
    <w:rsid w:val="008D13D7"/>
    <w:rsid w:val="008D3AA9"/>
    <w:rsid w:val="008D673F"/>
    <w:rsid w:val="008F2D28"/>
    <w:rsid w:val="008F6E40"/>
    <w:rsid w:val="00900185"/>
    <w:rsid w:val="0090123D"/>
    <w:rsid w:val="00903530"/>
    <w:rsid w:val="00903E8D"/>
    <w:rsid w:val="00913E33"/>
    <w:rsid w:val="009179D6"/>
    <w:rsid w:val="0092202E"/>
    <w:rsid w:val="009334BB"/>
    <w:rsid w:val="00936957"/>
    <w:rsid w:val="009372B2"/>
    <w:rsid w:val="0094176F"/>
    <w:rsid w:val="00943C6F"/>
    <w:rsid w:val="00950837"/>
    <w:rsid w:val="0095590C"/>
    <w:rsid w:val="0096022D"/>
    <w:rsid w:val="00962248"/>
    <w:rsid w:val="00964839"/>
    <w:rsid w:val="00966609"/>
    <w:rsid w:val="00966961"/>
    <w:rsid w:val="00970066"/>
    <w:rsid w:val="00971DBB"/>
    <w:rsid w:val="00971EA2"/>
    <w:rsid w:val="00976EF0"/>
    <w:rsid w:val="00992643"/>
    <w:rsid w:val="0099331D"/>
    <w:rsid w:val="009A2E96"/>
    <w:rsid w:val="009A53B4"/>
    <w:rsid w:val="009A5E9D"/>
    <w:rsid w:val="009A62F2"/>
    <w:rsid w:val="009A71BD"/>
    <w:rsid w:val="009B1444"/>
    <w:rsid w:val="009B2DBA"/>
    <w:rsid w:val="009B55FC"/>
    <w:rsid w:val="009B7A73"/>
    <w:rsid w:val="009C07D6"/>
    <w:rsid w:val="009C1CF3"/>
    <w:rsid w:val="009C3901"/>
    <w:rsid w:val="009C3BDD"/>
    <w:rsid w:val="009C67F5"/>
    <w:rsid w:val="009C684B"/>
    <w:rsid w:val="009D0057"/>
    <w:rsid w:val="009D13C3"/>
    <w:rsid w:val="009D3837"/>
    <w:rsid w:val="009E3140"/>
    <w:rsid w:val="009F1752"/>
    <w:rsid w:val="009F189F"/>
    <w:rsid w:val="009F1AA5"/>
    <w:rsid w:val="009F2EFD"/>
    <w:rsid w:val="009F38C5"/>
    <w:rsid w:val="009F45CC"/>
    <w:rsid w:val="009F6DCE"/>
    <w:rsid w:val="00A0091E"/>
    <w:rsid w:val="00A0180E"/>
    <w:rsid w:val="00A01FAE"/>
    <w:rsid w:val="00A03AAE"/>
    <w:rsid w:val="00A0527A"/>
    <w:rsid w:val="00A05C01"/>
    <w:rsid w:val="00A22C18"/>
    <w:rsid w:val="00A32DED"/>
    <w:rsid w:val="00A36CE7"/>
    <w:rsid w:val="00A36E69"/>
    <w:rsid w:val="00A437F1"/>
    <w:rsid w:val="00A466BD"/>
    <w:rsid w:val="00A55DB5"/>
    <w:rsid w:val="00A56076"/>
    <w:rsid w:val="00A57C11"/>
    <w:rsid w:val="00A653FD"/>
    <w:rsid w:val="00A71044"/>
    <w:rsid w:val="00A7510B"/>
    <w:rsid w:val="00A754B8"/>
    <w:rsid w:val="00A768FD"/>
    <w:rsid w:val="00A83E7E"/>
    <w:rsid w:val="00A84510"/>
    <w:rsid w:val="00A90707"/>
    <w:rsid w:val="00A93EA7"/>
    <w:rsid w:val="00A960D8"/>
    <w:rsid w:val="00AA0624"/>
    <w:rsid w:val="00AB0901"/>
    <w:rsid w:val="00AB1FA7"/>
    <w:rsid w:val="00AB56E8"/>
    <w:rsid w:val="00AB6B2A"/>
    <w:rsid w:val="00AC2E7E"/>
    <w:rsid w:val="00AC644C"/>
    <w:rsid w:val="00AD06D6"/>
    <w:rsid w:val="00AD7096"/>
    <w:rsid w:val="00AE0997"/>
    <w:rsid w:val="00AE0B74"/>
    <w:rsid w:val="00AE0B93"/>
    <w:rsid w:val="00AE4C66"/>
    <w:rsid w:val="00AE625B"/>
    <w:rsid w:val="00AF6BAA"/>
    <w:rsid w:val="00B0002F"/>
    <w:rsid w:val="00B012A8"/>
    <w:rsid w:val="00B115D8"/>
    <w:rsid w:val="00B24642"/>
    <w:rsid w:val="00B275F1"/>
    <w:rsid w:val="00B4060E"/>
    <w:rsid w:val="00B40874"/>
    <w:rsid w:val="00B40B93"/>
    <w:rsid w:val="00B52D54"/>
    <w:rsid w:val="00B72BF0"/>
    <w:rsid w:val="00B73572"/>
    <w:rsid w:val="00B80396"/>
    <w:rsid w:val="00B805C6"/>
    <w:rsid w:val="00B8771C"/>
    <w:rsid w:val="00B974CC"/>
    <w:rsid w:val="00BA0597"/>
    <w:rsid w:val="00BA7266"/>
    <w:rsid w:val="00BB28D6"/>
    <w:rsid w:val="00BB2E00"/>
    <w:rsid w:val="00BB4C54"/>
    <w:rsid w:val="00BB53E3"/>
    <w:rsid w:val="00BC1AE8"/>
    <w:rsid w:val="00BD37B1"/>
    <w:rsid w:val="00BD4BA4"/>
    <w:rsid w:val="00BE54CD"/>
    <w:rsid w:val="00BE68E0"/>
    <w:rsid w:val="00BE7906"/>
    <w:rsid w:val="00BF42F8"/>
    <w:rsid w:val="00BF6571"/>
    <w:rsid w:val="00BF72FC"/>
    <w:rsid w:val="00C11672"/>
    <w:rsid w:val="00C21998"/>
    <w:rsid w:val="00C26F1E"/>
    <w:rsid w:val="00C331ED"/>
    <w:rsid w:val="00C3333A"/>
    <w:rsid w:val="00C350E4"/>
    <w:rsid w:val="00C41759"/>
    <w:rsid w:val="00C439CA"/>
    <w:rsid w:val="00C529BC"/>
    <w:rsid w:val="00C55C22"/>
    <w:rsid w:val="00C564E3"/>
    <w:rsid w:val="00C62421"/>
    <w:rsid w:val="00C6281A"/>
    <w:rsid w:val="00C64B51"/>
    <w:rsid w:val="00C70C2F"/>
    <w:rsid w:val="00C710CA"/>
    <w:rsid w:val="00C770BA"/>
    <w:rsid w:val="00C82A3A"/>
    <w:rsid w:val="00CA0E59"/>
    <w:rsid w:val="00CA1676"/>
    <w:rsid w:val="00CB67D6"/>
    <w:rsid w:val="00CB68B8"/>
    <w:rsid w:val="00CB7496"/>
    <w:rsid w:val="00CC62A9"/>
    <w:rsid w:val="00CC6DCB"/>
    <w:rsid w:val="00CD24CE"/>
    <w:rsid w:val="00CD2E22"/>
    <w:rsid w:val="00CE36F1"/>
    <w:rsid w:val="00CE3F91"/>
    <w:rsid w:val="00CF6F37"/>
    <w:rsid w:val="00D022AF"/>
    <w:rsid w:val="00D070EB"/>
    <w:rsid w:val="00D17EF1"/>
    <w:rsid w:val="00D20826"/>
    <w:rsid w:val="00D3099B"/>
    <w:rsid w:val="00D51E19"/>
    <w:rsid w:val="00D52108"/>
    <w:rsid w:val="00D54A76"/>
    <w:rsid w:val="00D655E7"/>
    <w:rsid w:val="00D731B1"/>
    <w:rsid w:val="00D7501A"/>
    <w:rsid w:val="00D76E29"/>
    <w:rsid w:val="00D853A6"/>
    <w:rsid w:val="00D90851"/>
    <w:rsid w:val="00D93F4B"/>
    <w:rsid w:val="00DA117A"/>
    <w:rsid w:val="00DB08C2"/>
    <w:rsid w:val="00DB0FC6"/>
    <w:rsid w:val="00DB1535"/>
    <w:rsid w:val="00DB23A2"/>
    <w:rsid w:val="00DC2453"/>
    <w:rsid w:val="00DD25AD"/>
    <w:rsid w:val="00DD394A"/>
    <w:rsid w:val="00DD6C1F"/>
    <w:rsid w:val="00DE0E50"/>
    <w:rsid w:val="00E00CE4"/>
    <w:rsid w:val="00E01010"/>
    <w:rsid w:val="00E03FDE"/>
    <w:rsid w:val="00E072DF"/>
    <w:rsid w:val="00E0799C"/>
    <w:rsid w:val="00E07A6F"/>
    <w:rsid w:val="00E14EFF"/>
    <w:rsid w:val="00E175E2"/>
    <w:rsid w:val="00E23BA1"/>
    <w:rsid w:val="00E374F8"/>
    <w:rsid w:val="00E4562E"/>
    <w:rsid w:val="00E55586"/>
    <w:rsid w:val="00E604A0"/>
    <w:rsid w:val="00E60C46"/>
    <w:rsid w:val="00E6209F"/>
    <w:rsid w:val="00E629CF"/>
    <w:rsid w:val="00E650DE"/>
    <w:rsid w:val="00E65D43"/>
    <w:rsid w:val="00E66AF6"/>
    <w:rsid w:val="00E671B2"/>
    <w:rsid w:val="00E74EDE"/>
    <w:rsid w:val="00E84077"/>
    <w:rsid w:val="00E91213"/>
    <w:rsid w:val="00E92A72"/>
    <w:rsid w:val="00EA1F50"/>
    <w:rsid w:val="00EA7F88"/>
    <w:rsid w:val="00EB19B6"/>
    <w:rsid w:val="00EB2A01"/>
    <w:rsid w:val="00EB2C1B"/>
    <w:rsid w:val="00EC3907"/>
    <w:rsid w:val="00EC3B7C"/>
    <w:rsid w:val="00EC47C0"/>
    <w:rsid w:val="00EC5DB6"/>
    <w:rsid w:val="00EC6CDF"/>
    <w:rsid w:val="00EE2BC9"/>
    <w:rsid w:val="00EE5393"/>
    <w:rsid w:val="00EF1E7E"/>
    <w:rsid w:val="00EF6FD0"/>
    <w:rsid w:val="00F032AD"/>
    <w:rsid w:val="00F04B58"/>
    <w:rsid w:val="00F0565F"/>
    <w:rsid w:val="00F05F84"/>
    <w:rsid w:val="00F15A13"/>
    <w:rsid w:val="00F211E4"/>
    <w:rsid w:val="00F407A9"/>
    <w:rsid w:val="00F51CA0"/>
    <w:rsid w:val="00F51CBF"/>
    <w:rsid w:val="00F53935"/>
    <w:rsid w:val="00F54845"/>
    <w:rsid w:val="00F56823"/>
    <w:rsid w:val="00F669AD"/>
    <w:rsid w:val="00F75EEF"/>
    <w:rsid w:val="00F76211"/>
    <w:rsid w:val="00F77FBA"/>
    <w:rsid w:val="00F80F60"/>
    <w:rsid w:val="00F8308A"/>
    <w:rsid w:val="00F851C8"/>
    <w:rsid w:val="00F903F1"/>
    <w:rsid w:val="00F93C21"/>
    <w:rsid w:val="00F957FE"/>
    <w:rsid w:val="00F978C6"/>
    <w:rsid w:val="00FA1B5D"/>
    <w:rsid w:val="00FA41CC"/>
    <w:rsid w:val="00FA4733"/>
    <w:rsid w:val="00FA5657"/>
    <w:rsid w:val="00FA587D"/>
    <w:rsid w:val="00FB4A4A"/>
    <w:rsid w:val="00FB68EE"/>
    <w:rsid w:val="00FC4138"/>
    <w:rsid w:val="00FC63CA"/>
    <w:rsid w:val="00FD0662"/>
    <w:rsid w:val="00FD5FB2"/>
    <w:rsid w:val="00FD6CAD"/>
    <w:rsid w:val="00FE0381"/>
    <w:rsid w:val="00FE075F"/>
    <w:rsid w:val="00FE5997"/>
    <w:rsid w:val="00FE5ACB"/>
    <w:rsid w:val="00FE6643"/>
    <w:rsid w:val="00FE7D54"/>
    <w:rsid w:val="00FF2276"/>
    <w:rsid w:val="00FF4138"/>
    <w:rsid w:val="00FF5FB5"/>
    <w:rsid w:val="02527DE1"/>
    <w:rsid w:val="0CA23FEE"/>
    <w:rsid w:val="0D3AA324"/>
    <w:rsid w:val="0E6B6B63"/>
    <w:rsid w:val="0EFF42C6"/>
    <w:rsid w:val="0F470ABA"/>
    <w:rsid w:val="1EC437B5"/>
    <w:rsid w:val="21EA7BF4"/>
    <w:rsid w:val="266F409E"/>
    <w:rsid w:val="2978E8D9"/>
    <w:rsid w:val="29FEC460"/>
    <w:rsid w:val="2D652033"/>
    <w:rsid w:val="2FA173DC"/>
    <w:rsid w:val="30EE1ABF"/>
    <w:rsid w:val="37B6AAD3"/>
    <w:rsid w:val="382E8D17"/>
    <w:rsid w:val="450910DB"/>
    <w:rsid w:val="46B17473"/>
    <w:rsid w:val="495A79E4"/>
    <w:rsid w:val="4A486A5C"/>
    <w:rsid w:val="4A4C7B9E"/>
    <w:rsid w:val="4B0AF44B"/>
    <w:rsid w:val="4BC693FB"/>
    <w:rsid w:val="4C10ACC7"/>
    <w:rsid w:val="545749D2"/>
    <w:rsid w:val="55CB2247"/>
    <w:rsid w:val="582917F6"/>
    <w:rsid w:val="58D8DC09"/>
    <w:rsid w:val="5D7155EE"/>
    <w:rsid w:val="6034BBFB"/>
    <w:rsid w:val="635CE8B0"/>
    <w:rsid w:val="6F7520DD"/>
    <w:rsid w:val="733D3684"/>
    <w:rsid w:val="778B03E3"/>
    <w:rsid w:val="7A980CD8"/>
    <w:rsid w:val="7EA4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27910D9C"/>
  <w15:chartTrackingRefBased/>
  <w15:docId w15:val="{D0A188EE-1FB5-4091-B8C3-E9666EAF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BA"/>
    <w:rPr>
      <w:lang w:val="en-GB"/>
    </w:rPr>
  </w:style>
  <w:style w:type="paragraph" w:styleId="Heading1">
    <w:name w:val="heading 1"/>
    <w:basedOn w:val="Normal"/>
    <w:next w:val="Normal"/>
    <w:link w:val="Heading1Char"/>
    <w:qFormat/>
    <w:rsid w:val="007262A2"/>
    <w:pPr>
      <w:keepNext/>
      <w:spacing w:after="0" w:line="240" w:lineRule="auto"/>
      <w:jc w:val="right"/>
      <w:outlineLvl w:val="0"/>
    </w:pPr>
    <w:rPr>
      <w:rFonts w:ascii="Arial" w:eastAsia="Times" w:hAnsi="Arial" w:cs="Times New Roman"/>
      <w:i/>
      <w:color w:val="FFFFFF"/>
      <w:sz w:val="24"/>
      <w:szCs w:val="20"/>
      <w:lang w:eastAsia="en-GB"/>
    </w:rPr>
  </w:style>
  <w:style w:type="paragraph" w:styleId="Heading2">
    <w:name w:val="heading 2"/>
    <w:basedOn w:val="Normal"/>
    <w:next w:val="Normal"/>
    <w:link w:val="Heading2Char"/>
    <w:uiPriority w:val="9"/>
    <w:unhideWhenUsed/>
    <w:qFormat/>
    <w:rsid w:val="005705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705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3FD"/>
    <w:pPr>
      <w:ind w:left="720"/>
      <w:contextualSpacing/>
    </w:pPr>
  </w:style>
  <w:style w:type="character" w:customStyle="1" w:styleId="Heading1Char">
    <w:name w:val="Heading 1 Char"/>
    <w:basedOn w:val="DefaultParagraphFont"/>
    <w:link w:val="Heading1"/>
    <w:rsid w:val="007262A2"/>
    <w:rPr>
      <w:rFonts w:ascii="Arial" w:eastAsia="Times" w:hAnsi="Arial" w:cs="Times New Roman"/>
      <w:i/>
      <w:color w:val="FFFFFF"/>
      <w:sz w:val="24"/>
      <w:szCs w:val="20"/>
      <w:lang w:val="en-GB" w:eastAsia="en-GB"/>
    </w:rPr>
  </w:style>
  <w:style w:type="paragraph" w:styleId="BodyText3">
    <w:name w:val="Body Text 3"/>
    <w:basedOn w:val="Normal"/>
    <w:link w:val="BodyText3Char"/>
    <w:rsid w:val="007262A2"/>
    <w:pPr>
      <w:spacing w:after="0" w:line="240" w:lineRule="auto"/>
      <w:jc w:val="right"/>
    </w:pPr>
    <w:rPr>
      <w:rFonts w:ascii="Times" w:eastAsia="Times" w:hAnsi="Times" w:cs="Times New Roman"/>
      <w:b/>
      <w:szCs w:val="20"/>
      <w:lang w:eastAsia="en-GB"/>
    </w:rPr>
  </w:style>
  <w:style w:type="character" w:customStyle="1" w:styleId="BodyText3Char">
    <w:name w:val="Body Text 3 Char"/>
    <w:basedOn w:val="DefaultParagraphFont"/>
    <w:link w:val="BodyText3"/>
    <w:rsid w:val="007262A2"/>
    <w:rPr>
      <w:rFonts w:ascii="Times" w:eastAsia="Times" w:hAnsi="Times" w:cs="Times New Roman"/>
      <w:b/>
      <w:szCs w:val="20"/>
      <w:lang w:eastAsia="en-GB"/>
    </w:rPr>
  </w:style>
  <w:style w:type="table" w:styleId="TableGrid">
    <w:name w:val="Table Grid"/>
    <w:basedOn w:val="TableNormal"/>
    <w:uiPriority w:val="39"/>
    <w:rsid w:val="0094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03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396"/>
    <w:rPr>
      <w:sz w:val="20"/>
      <w:szCs w:val="20"/>
    </w:rPr>
  </w:style>
  <w:style w:type="character" w:styleId="FootnoteReference">
    <w:name w:val="footnote reference"/>
    <w:basedOn w:val="DefaultParagraphFont"/>
    <w:uiPriority w:val="99"/>
    <w:semiHidden/>
    <w:unhideWhenUsed/>
    <w:rsid w:val="00B80396"/>
    <w:rPr>
      <w:vertAlign w:val="superscript"/>
    </w:rPr>
  </w:style>
  <w:style w:type="paragraph" w:styleId="BalloonText">
    <w:name w:val="Balloon Text"/>
    <w:basedOn w:val="Normal"/>
    <w:link w:val="BalloonTextChar"/>
    <w:uiPriority w:val="99"/>
    <w:semiHidden/>
    <w:unhideWhenUsed/>
    <w:rsid w:val="004E4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55C"/>
    <w:rPr>
      <w:rFonts w:ascii="Segoe UI" w:hAnsi="Segoe UI" w:cs="Segoe UI"/>
      <w:sz w:val="18"/>
      <w:szCs w:val="18"/>
    </w:rPr>
  </w:style>
  <w:style w:type="paragraph" w:styleId="Header">
    <w:name w:val="header"/>
    <w:basedOn w:val="Normal"/>
    <w:link w:val="HeaderChar"/>
    <w:uiPriority w:val="99"/>
    <w:unhideWhenUsed/>
    <w:rsid w:val="00966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609"/>
  </w:style>
  <w:style w:type="paragraph" w:styleId="Footer">
    <w:name w:val="footer"/>
    <w:basedOn w:val="Normal"/>
    <w:link w:val="FooterChar"/>
    <w:uiPriority w:val="99"/>
    <w:unhideWhenUsed/>
    <w:rsid w:val="00966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609"/>
  </w:style>
  <w:style w:type="character" w:customStyle="1" w:styleId="normaltextrun">
    <w:name w:val="normaltextrun"/>
    <w:basedOn w:val="DefaultParagraphFont"/>
    <w:rsid w:val="006D48CD"/>
  </w:style>
  <w:style w:type="character" w:customStyle="1" w:styleId="eop">
    <w:name w:val="eop"/>
    <w:basedOn w:val="DefaultParagraphFont"/>
    <w:rsid w:val="006D48CD"/>
  </w:style>
  <w:style w:type="paragraph" w:customStyle="1" w:styleId="Default">
    <w:name w:val="Default"/>
    <w:rsid w:val="00A05C01"/>
    <w:pPr>
      <w:autoSpaceDE w:val="0"/>
      <w:autoSpaceDN w:val="0"/>
      <w:adjustRightInd w:val="0"/>
      <w:spacing w:after="0" w:line="240" w:lineRule="auto"/>
    </w:pPr>
    <w:rPr>
      <w:rFonts w:ascii="Arial" w:hAnsi="Arial" w:cs="Arial"/>
      <w:color w:val="000000"/>
      <w:sz w:val="24"/>
      <w:szCs w:val="24"/>
      <w:lang w:val="en-GB"/>
    </w:rPr>
  </w:style>
  <w:style w:type="paragraph" w:styleId="EndnoteText">
    <w:name w:val="endnote text"/>
    <w:basedOn w:val="Normal"/>
    <w:link w:val="EndnoteTextChar"/>
    <w:uiPriority w:val="99"/>
    <w:semiHidden/>
    <w:unhideWhenUsed/>
    <w:rsid w:val="006030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03042"/>
    <w:rPr>
      <w:sz w:val="20"/>
      <w:szCs w:val="20"/>
      <w:lang w:val="en-GB"/>
    </w:rPr>
  </w:style>
  <w:style w:type="character" w:styleId="EndnoteReference">
    <w:name w:val="endnote reference"/>
    <w:basedOn w:val="DefaultParagraphFont"/>
    <w:uiPriority w:val="99"/>
    <w:semiHidden/>
    <w:unhideWhenUsed/>
    <w:rsid w:val="00603042"/>
    <w:rPr>
      <w:vertAlign w:val="superscript"/>
    </w:rPr>
  </w:style>
  <w:style w:type="paragraph" w:styleId="Title">
    <w:name w:val="Title"/>
    <w:basedOn w:val="Normal"/>
    <w:next w:val="Normal"/>
    <w:link w:val="TitleChar"/>
    <w:uiPriority w:val="10"/>
    <w:qFormat/>
    <w:rsid w:val="005705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59A"/>
    <w:rPr>
      <w:rFonts w:asciiTheme="majorHAnsi" w:eastAsiaTheme="majorEastAsia" w:hAnsiTheme="majorHAnsi" w:cstheme="majorBidi"/>
      <w:spacing w:val="-10"/>
      <w:kern w:val="28"/>
      <w:sz w:val="56"/>
      <w:szCs w:val="56"/>
      <w:lang w:val="en-GB"/>
    </w:rPr>
  </w:style>
  <w:style w:type="character" w:customStyle="1" w:styleId="Heading2Char">
    <w:name w:val="Heading 2 Char"/>
    <w:basedOn w:val="DefaultParagraphFont"/>
    <w:link w:val="Heading2"/>
    <w:uiPriority w:val="9"/>
    <w:rsid w:val="0057059A"/>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57059A"/>
    <w:rPr>
      <w:rFonts w:asciiTheme="majorHAnsi" w:eastAsiaTheme="majorEastAsia" w:hAnsiTheme="majorHAnsi" w:cstheme="majorBidi"/>
      <w:color w:val="1F4D78"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2912">
      <w:bodyDiv w:val="1"/>
      <w:marLeft w:val="0"/>
      <w:marRight w:val="0"/>
      <w:marTop w:val="0"/>
      <w:marBottom w:val="0"/>
      <w:divBdr>
        <w:top w:val="none" w:sz="0" w:space="0" w:color="auto"/>
        <w:left w:val="none" w:sz="0" w:space="0" w:color="auto"/>
        <w:bottom w:val="none" w:sz="0" w:space="0" w:color="auto"/>
        <w:right w:val="none" w:sz="0" w:space="0" w:color="auto"/>
      </w:divBdr>
      <w:divsChild>
        <w:div w:id="1033195075">
          <w:marLeft w:val="0"/>
          <w:marRight w:val="0"/>
          <w:marTop w:val="0"/>
          <w:marBottom w:val="0"/>
          <w:divBdr>
            <w:top w:val="none" w:sz="0" w:space="0" w:color="auto"/>
            <w:left w:val="none" w:sz="0" w:space="0" w:color="auto"/>
            <w:bottom w:val="none" w:sz="0" w:space="0" w:color="auto"/>
            <w:right w:val="none" w:sz="0" w:space="0" w:color="auto"/>
          </w:divBdr>
          <w:divsChild>
            <w:div w:id="864027990">
              <w:marLeft w:val="0"/>
              <w:marRight w:val="0"/>
              <w:marTop w:val="0"/>
              <w:marBottom w:val="0"/>
              <w:divBdr>
                <w:top w:val="none" w:sz="0" w:space="0" w:color="auto"/>
                <w:left w:val="none" w:sz="0" w:space="0" w:color="auto"/>
                <w:bottom w:val="none" w:sz="0" w:space="0" w:color="auto"/>
                <w:right w:val="none" w:sz="0" w:space="0" w:color="auto"/>
              </w:divBdr>
              <w:divsChild>
                <w:div w:id="596404496">
                  <w:marLeft w:val="0"/>
                  <w:marRight w:val="0"/>
                  <w:marTop w:val="0"/>
                  <w:marBottom w:val="0"/>
                  <w:divBdr>
                    <w:top w:val="none" w:sz="0" w:space="0" w:color="auto"/>
                    <w:left w:val="none" w:sz="0" w:space="0" w:color="auto"/>
                    <w:bottom w:val="none" w:sz="0" w:space="0" w:color="auto"/>
                    <w:right w:val="none" w:sz="0" w:space="0" w:color="auto"/>
                  </w:divBdr>
                  <w:divsChild>
                    <w:div w:id="502208791">
                      <w:marLeft w:val="0"/>
                      <w:marRight w:val="0"/>
                      <w:marTop w:val="0"/>
                      <w:marBottom w:val="0"/>
                      <w:divBdr>
                        <w:top w:val="none" w:sz="0" w:space="0" w:color="auto"/>
                        <w:left w:val="none" w:sz="0" w:space="0" w:color="auto"/>
                        <w:bottom w:val="none" w:sz="0" w:space="0" w:color="auto"/>
                        <w:right w:val="none" w:sz="0" w:space="0" w:color="auto"/>
                      </w:divBdr>
                      <w:divsChild>
                        <w:div w:id="422144198">
                          <w:marLeft w:val="0"/>
                          <w:marRight w:val="0"/>
                          <w:marTop w:val="0"/>
                          <w:marBottom w:val="0"/>
                          <w:divBdr>
                            <w:top w:val="none" w:sz="0" w:space="0" w:color="auto"/>
                            <w:left w:val="none" w:sz="0" w:space="0" w:color="auto"/>
                            <w:bottom w:val="none" w:sz="0" w:space="0" w:color="auto"/>
                            <w:right w:val="none" w:sz="0" w:space="0" w:color="auto"/>
                          </w:divBdr>
                          <w:divsChild>
                            <w:div w:id="299501926">
                              <w:marLeft w:val="15"/>
                              <w:marRight w:val="195"/>
                              <w:marTop w:val="0"/>
                              <w:marBottom w:val="0"/>
                              <w:divBdr>
                                <w:top w:val="none" w:sz="0" w:space="0" w:color="auto"/>
                                <w:left w:val="none" w:sz="0" w:space="0" w:color="auto"/>
                                <w:bottom w:val="none" w:sz="0" w:space="0" w:color="auto"/>
                                <w:right w:val="none" w:sz="0" w:space="0" w:color="auto"/>
                              </w:divBdr>
                              <w:divsChild>
                                <w:div w:id="1539702848">
                                  <w:marLeft w:val="0"/>
                                  <w:marRight w:val="0"/>
                                  <w:marTop w:val="0"/>
                                  <w:marBottom w:val="0"/>
                                  <w:divBdr>
                                    <w:top w:val="none" w:sz="0" w:space="0" w:color="auto"/>
                                    <w:left w:val="none" w:sz="0" w:space="0" w:color="auto"/>
                                    <w:bottom w:val="none" w:sz="0" w:space="0" w:color="auto"/>
                                    <w:right w:val="none" w:sz="0" w:space="0" w:color="auto"/>
                                  </w:divBdr>
                                  <w:divsChild>
                                    <w:div w:id="668751754">
                                      <w:marLeft w:val="0"/>
                                      <w:marRight w:val="0"/>
                                      <w:marTop w:val="0"/>
                                      <w:marBottom w:val="0"/>
                                      <w:divBdr>
                                        <w:top w:val="none" w:sz="0" w:space="0" w:color="auto"/>
                                        <w:left w:val="none" w:sz="0" w:space="0" w:color="auto"/>
                                        <w:bottom w:val="none" w:sz="0" w:space="0" w:color="auto"/>
                                        <w:right w:val="none" w:sz="0" w:space="0" w:color="auto"/>
                                      </w:divBdr>
                                      <w:divsChild>
                                        <w:div w:id="893153008">
                                          <w:marLeft w:val="0"/>
                                          <w:marRight w:val="0"/>
                                          <w:marTop w:val="0"/>
                                          <w:marBottom w:val="0"/>
                                          <w:divBdr>
                                            <w:top w:val="none" w:sz="0" w:space="0" w:color="auto"/>
                                            <w:left w:val="none" w:sz="0" w:space="0" w:color="auto"/>
                                            <w:bottom w:val="none" w:sz="0" w:space="0" w:color="auto"/>
                                            <w:right w:val="none" w:sz="0" w:space="0" w:color="auto"/>
                                          </w:divBdr>
                                          <w:divsChild>
                                            <w:div w:id="115493871">
                                              <w:marLeft w:val="0"/>
                                              <w:marRight w:val="0"/>
                                              <w:marTop w:val="0"/>
                                              <w:marBottom w:val="0"/>
                                              <w:divBdr>
                                                <w:top w:val="none" w:sz="0" w:space="0" w:color="auto"/>
                                                <w:left w:val="none" w:sz="0" w:space="0" w:color="auto"/>
                                                <w:bottom w:val="none" w:sz="0" w:space="0" w:color="auto"/>
                                                <w:right w:val="none" w:sz="0" w:space="0" w:color="auto"/>
                                              </w:divBdr>
                                              <w:divsChild>
                                                <w:div w:id="1240016755">
                                                  <w:marLeft w:val="0"/>
                                                  <w:marRight w:val="0"/>
                                                  <w:marTop w:val="0"/>
                                                  <w:marBottom w:val="0"/>
                                                  <w:divBdr>
                                                    <w:top w:val="none" w:sz="0" w:space="0" w:color="auto"/>
                                                    <w:left w:val="none" w:sz="0" w:space="0" w:color="auto"/>
                                                    <w:bottom w:val="none" w:sz="0" w:space="0" w:color="auto"/>
                                                    <w:right w:val="none" w:sz="0" w:space="0" w:color="auto"/>
                                                  </w:divBdr>
                                                  <w:divsChild>
                                                    <w:div w:id="350766447">
                                                      <w:marLeft w:val="0"/>
                                                      <w:marRight w:val="0"/>
                                                      <w:marTop w:val="0"/>
                                                      <w:marBottom w:val="0"/>
                                                      <w:divBdr>
                                                        <w:top w:val="none" w:sz="0" w:space="0" w:color="auto"/>
                                                        <w:left w:val="none" w:sz="0" w:space="0" w:color="auto"/>
                                                        <w:bottom w:val="none" w:sz="0" w:space="0" w:color="auto"/>
                                                        <w:right w:val="none" w:sz="0" w:space="0" w:color="auto"/>
                                                      </w:divBdr>
                                                      <w:divsChild>
                                                        <w:div w:id="272054283">
                                                          <w:marLeft w:val="0"/>
                                                          <w:marRight w:val="0"/>
                                                          <w:marTop w:val="0"/>
                                                          <w:marBottom w:val="0"/>
                                                          <w:divBdr>
                                                            <w:top w:val="none" w:sz="0" w:space="0" w:color="auto"/>
                                                            <w:left w:val="none" w:sz="0" w:space="0" w:color="auto"/>
                                                            <w:bottom w:val="none" w:sz="0" w:space="0" w:color="auto"/>
                                                            <w:right w:val="none" w:sz="0" w:space="0" w:color="auto"/>
                                                          </w:divBdr>
                                                          <w:divsChild>
                                                            <w:div w:id="1272513163">
                                                              <w:marLeft w:val="0"/>
                                                              <w:marRight w:val="0"/>
                                                              <w:marTop w:val="0"/>
                                                              <w:marBottom w:val="0"/>
                                                              <w:divBdr>
                                                                <w:top w:val="none" w:sz="0" w:space="0" w:color="auto"/>
                                                                <w:left w:val="none" w:sz="0" w:space="0" w:color="auto"/>
                                                                <w:bottom w:val="none" w:sz="0" w:space="0" w:color="auto"/>
                                                                <w:right w:val="none" w:sz="0" w:space="0" w:color="auto"/>
                                                              </w:divBdr>
                                                              <w:divsChild>
                                                                <w:div w:id="1398355113">
                                                                  <w:marLeft w:val="0"/>
                                                                  <w:marRight w:val="0"/>
                                                                  <w:marTop w:val="0"/>
                                                                  <w:marBottom w:val="0"/>
                                                                  <w:divBdr>
                                                                    <w:top w:val="none" w:sz="0" w:space="0" w:color="auto"/>
                                                                    <w:left w:val="none" w:sz="0" w:space="0" w:color="auto"/>
                                                                    <w:bottom w:val="none" w:sz="0" w:space="0" w:color="auto"/>
                                                                    <w:right w:val="none" w:sz="0" w:space="0" w:color="auto"/>
                                                                  </w:divBdr>
                                                                  <w:divsChild>
                                                                    <w:div w:id="1634360585">
                                                                      <w:marLeft w:val="405"/>
                                                                      <w:marRight w:val="0"/>
                                                                      <w:marTop w:val="0"/>
                                                                      <w:marBottom w:val="0"/>
                                                                      <w:divBdr>
                                                                        <w:top w:val="none" w:sz="0" w:space="0" w:color="auto"/>
                                                                        <w:left w:val="none" w:sz="0" w:space="0" w:color="auto"/>
                                                                        <w:bottom w:val="none" w:sz="0" w:space="0" w:color="auto"/>
                                                                        <w:right w:val="none" w:sz="0" w:space="0" w:color="auto"/>
                                                                      </w:divBdr>
                                                                      <w:divsChild>
                                                                        <w:div w:id="666634253">
                                                                          <w:marLeft w:val="0"/>
                                                                          <w:marRight w:val="0"/>
                                                                          <w:marTop w:val="0"/>
                                                                          <w:marBottom w:val="0"/>
                                                                          <w:divBdr>
                                                                            <w:top w:val="none" w:sz="0" w:space="0" w:color="auto"/>
                                                                            <w:left w:val="none" w:sz="0" w:space="0" w:color="auto"/>
                                                                            <w:bottom w:val="none" w:sz="0" w:space="0" w:color="auto"/>
                                                                            <w:right w:val="none" w:sz="0" w:space="0" w:color="auto"/>
                                                                          </w:divBdr>
                                                                          <w:divsChild>
                                                                            <w:div w:id="157423065">
                                                                              <w:marLeft w:val="0"/>
                                                                              <w:marRight w:val="0"/>
                                                                              <w:marTop w:val="0"/>
                                                                              <w:marBottom w:val="0"/>
                                                                              <w:divBdr>
                                                                                <w:top w:val="none" w:sz="0" w:space="0" w:color="auto"/>
                                                                                <w:left w:val="none" w:sz="0" w:space="0" w:color="auto"/>
                                                                                <w:bottom w:val="none" w:sz="0" w:space="0" w:color="auto"/>
                                                                                <w:right w:val="none" w:sz="0" w:space="0" w:color="auto"/>
                                                                              </w:divBdr>
                                                                              <w:divsChild>
                                                                                <w:div w:id="1560171062">
                                                                                  <w:marLeft w:val="0"/>
                                                                                  <w:marRight w:val="0"/>
                                                                                  <w:marTop w:val="0"/>
                                                                                  <w:marBottom w:val="0"/>
                                                                                  <w:divBdr>
                                                                                    <w:top w:val="none" w:sz="0" w:space="0" w:color="auto"/>
                                                                                    <w:left w:val="none" w:sz="0" w:space="0" w:color="auto"/>
                                                                                    <w:bottom w:val="none" w:sz="0" w:space="0" w:color="auto"/>
                                                                                    <w:right w:val="none" w:sz="0" w:space="0" w:color="auto"/>
                                                                                  </w:divBdr>
                                                                                  <w:divsChild>
                                                                                    <w:div w:id="849831895">
                                                                                      <w:marLeft w:val="0"/>
                                                                                      <w:marRight w:val="0"/>
                                                                                      <w:marTop w:val="0"/>
                                                                                      <w:marBottom w:val="0"/>
                                                                                      <w:divBdr>
                                                                                        <w:top w:val="none" w:sz="0" w:space="0" w:color="auto"/>
                                                                                        <w:left w:val="none" w:sz="0" w:space="0" w:color="auto"/>
                                                                                        <w:bottom w:val="none" w:sz="0" w:space="0" w:color="auto"/>
                                                                                        <w:right w:val="none" w:sz="0" w:space="0" w:color="auto"/>
                                                                                      </w:divBdr>
                                                                                      <w:divsChild>
                                                                                        <w:div w:id="474373858">
                                                                                          <w:marLeft w:val="0"/>
                                                                                          <w:marRight w:val="0"/>
                                                                                          <w:marTop w:val="0"/>
                                                                                          <w:marBottom w:val="0"/>
                                                                                          <w:divBdr>
                                                                                            <w:top w:val="none" w:sz="0" w:space="0" w:color="auto"/>
                                                                                            <w:left w:val="none" w:sz="0" w:space="0" w:color="auto"/>
                                                                                            <w:bottom w:val="none" w:sz="0" w:space="0" w:color="auto"/>
                                                                                            <w:right w:val="none" w:sz="0" w:space="0" w:color="auto"/>
                                                                                          </w:divBdr>
                                                                                          <w:divsChild>
                                                                                            <w:div w:id="182522208">
                                                                                              <w:marLeft w:val="0"/>
                                                                                              <w:marRight w:val="0"/>
                                                                                              <w:marTop w:val="0"/>
                                                                                              <w:marBottom w:val="0"/>
                                                                                              <w:divBdr>
                                                                                                <w:top w:val="none" w:sz="0" w:space="0" w:color="auto"/>
                                                                                                <w:left w:val="none" w:sz="0" w:space="0" w:color="auto"/>
                                                                                                <w:bottom w:val="none" w:sz="0" w:space="0" w:color="auto"/>
                                                                                                <w:right w:val="none" w:sz="0" w:space="0" w:color="auto"/>
                                                                                              </w:divBdr>
                                                                                              <w:divsChild>
                                                                                                <w:div w:id="1545604851">
                                                                                                  <w:marLeft w:val="0"/>
                                                                                                  <w:marRight w:val="0"/>
                                                                                                  <w:marTop w:val="0"/>
                                                                                                  <w:marBottom w:val="0"/>
                                                                                                  <w:divBdr>
                                                                                                    <w:top w:val="none" w:sz="0" w:space="0" w:color="auto"/>
                                                                                                    <w:left w:val="single" w:sz="12" w:space="8" w:color="auto"/>
                                                                                                    <w:bottom w:val="none" w:sz="0" w:space="0" w:color="auto"/>
                                                                                                    <w:right w:val="none" w:sz="0" w:space="0" w:color="auto"/>
                                                                                                  </w:divBdr>
                                                                                                  <w:divsChild>
                                                                                                    <w:div w:id="1649943380">
                                                                                                      <w:marLeft w:val="0"/>
                                                                                                      <w:marRight w:val="0"/>
                                                                                                      <w:marTop w:val="0"/>
                                                                                                      <w:marBottom w:val="0"/>
                                                                                                      <w:divBdr>
                                                                                                        <w:top w:val="none" w:sz="0" w:space="0" w:color="auto"/>
                                                                                                        <w:left w:val="none" w:sz="0" w:space="0" w:color="auto"/>
                                                                                                        <w:bottom w:val="none" w:sz="0" w:space="0" w:color="auto"/>
                                                                                                        <w:right w:val="none" w:sz="0" w:space="0" w:color="auto"/>
                                                                                                      </w:divBdr>
                                                                                                      <w:divsChild>
                                                                                                        <w:div w:id="172308857">
                                                                                                          <w:marLeft w:val="0"/>
                                                                                                          <w:marRight w:val="0"/>
                                                                                                          <w:marTop w:val="0"/>
                                                                                                          <w:marBottom w:val="0"/>
                                                                                                          <w:divBdr>
                                                                                                            <w:top w:val="none" w:sz="0" w:space="0" w:color="auto"/>
                                                                                                            <w:left w:val="none" w:sz="0" w:space="0" w:color="auto"/>
                                                                                                            <w:bottom w:val="none" w:sz="0" w:space="0" w:color="auto"/>
                                                                                                            <w:right w:val="none" w:sz="0" w:space="0" w:color="auto"/>
                                                                                                          </w:divBdr>
                                                                                                          <w:divsChild>
                                                                                                            <w:div w:id="1483154658">
                                                                                                              <w:marLeft w:val="0"/>
                                                                                                              <w:marRight w:val="0"/>
                                                                                                              <w:marTop w:val="0"/>
                                                                                                              <w:marBottom w:val="0"/>
                                                                                                              <w:divBdr>
                                                                                                                <w:top w:val="none" w:sz="0" w:space="0" w:color="auto"/>
                                                                                                                <w:left w:val="none" w:sz="0" w:space="0" w:color="auto"/>
                                                                                                                <w:bottom w:val="none" w:sz="0" w:space="0" w:color="auto"/>
                                                                                                                <w:right w:val="none" w:sz="0" w:space="0" w:color="auto"/>
                                                                                                              </w:divBdr>
                                                                                                              <w:divsChild>
                                                                                                                <w:div w:id="1778404793">
                                                                                                                  <w:marLeft w:val="0"/>
                                                                                                                  <w:marRight w:val="0"/>
                                                                                                                  <w:marTop w:val="0"/>
                                                                                                                  <w:marBottom w:val="0"/>
                                                                                                                  <w:divBdr>
                                                                                                                    <w:top w:val="none" w:sz="0" w:space="0" w:color="auto"/>
                                                                                                                    <w:left w:val="none" w:sz="0" w:space="0" w:color="auto"/>
                                                                                                                    <w:bottom w:val="none" w:sz="0" w:space="0" w:color="auto"/>
                                                                                                                    <w:right w:val="none" w:sz="0" w:space="0" w:color="auto"/>
                                                                                                                  </w:divBdr>
                                                                                                                  <w:divsChild>
                                                                                                                    <w:div w:id="25834522">
                                                                                                                      <w:marLeft w:val="0"/>
                                                                                                                      <w:marRight w:val="0"/>
                                                                                                                      <w:marTop w:val="0"/>
                                                                                                                      <w:marBottom w:val="0"/>
                                                                                                                      <w:divBdr>
                                                                                                                        <w:top w:val="none" w:sz="0" w:space="0" w:color="auto"/>
                                                                                                                        <w:left w:val="none" w:sz="0" w:space="0" w:color="auto"/>
                                                                                                                        <w:bottom w:val="none" w:sz="0" w:space="0" w:color="auto"/>
                                                                                                                        <w:right w:val="none" w:sz="0" w:space="0" w:color="auto"/>
                                                                                                                      </w:divBdr>
                                                                                                                      <w:divsChild>
                                                                                                                        <w:div w:id="2099128723">
                                                                                                                          <w:marLeft w:val="0"/>
                                                                                                                          <w:marRight w:val="0"/>
                                                                                                                          <w:marTop w:val="0"/>
                                                                                                                          <w:marBottom w:val="0"/>
                                                                                                                          <w:divBdr>
                                                                                                                            <w:top w:val="none" w:sz="0" w:space="0" w:color="auto"/>
                                                                                                                            <w:left w:val="none" w:sz="0" w:space="0" w:color="auto"/>
                                                                                                                            <w:bottom w:val="none" w:sz="0" w:space="0" w:color="auto"/>
                                                                                                                            <w:right w:val="none" w:sz="0" w:space="0" w:color="auto"/>
                                                                                                                          </w:divBdr>
                                                                                                                          <w:divsChild>
                                                                                                                            <w:div w:id="1133906491">
                                                                                                                              <w:marLeft w:val="0"/>
                                                                                                                              <w:marRight w:val="0"/>
                                                                                                                              <w:marTop w:val="0"/>
                                                                                                                              <w:marBottom w:val="0"/>
                                                                                                                              <w:divBdr>
                                                                                                                                <w:top w:val="none" w:sz="0" w:space="0" w:color="auto"/>
                                                                                                                                <w:left w:val="none" w:sz="0" w:space="0" w:color="auto"/>
                                                                                                                                <w:bottom w:val="none" w:sz="0" w:space="0" w:color="auto"/>
                                                                                                                                <w:right w:val="none" w:sz="0" w:space="0" w:color="auto"/>
                                                                                                                              </w:divBdr>
                                                                                                                            </w:div>
                                                                                                                            <w:div w:id="250428366">
                                                                                                                              <w:marLeft w:val="0"/>
                                                                                                                              <w:marRight w:val="0"/>
                                                                                                                              <w:marTop w:val="0"/>
                                                                                                                              <w:marBottom w:val="0"/>
                                                                                                                              <w:divBdr>
                                                                                                                                <w:top w:val="none" w:sz="0" w:space="0" w:color="auto"/>
                                                                                                                                <w:left w:val="none" w:sz="0" w:space="0" w:color="auto"/>
                                                                                                                                <w:bottom w:val="none" w:sz="0" w:space="0" w:color="auto"/>
                                                                                                                                <w:right w:val="none" w:sz="0" w:space="0" w:color="auto"/>
                                                                                                                              </w:divBdr>
                                                                                                                            </w:div>
                                                                                                                            <w:div w:id="2020081717">
                                                                                                                              <w:marLeft w:val="0"/>
                                                                                                                              <w:marRight w:val="0"/>
                                                                                                                              <w:marTop w:val="0"/>
                                                                                                                              <w:marBottom w:val="0"/>
                                                                                                                              <w:divBdr>
                                                                                                                                <w:top w:val="none" w:sz="0" w:space="0" w:color="auto"/>
                                                                                                                                <w:left w:val="none" w:sz="0" w:space="0" w:color="auto"/>
                                                                                                                                <w:bottom w:val="none" w:sz="0" w:space="0" w:color="auto"/>
                                                                                                                                <w:right w:val="none" w:sz="0" w:space="0" w:color="auto"/>
                                                                                                                              </w:divBdr>
                                                                                                                            </w:div>
                                                                                                                            <w:div w:id="2027050915">
                                                                                                                              <w:marLeft w:val="0"/>
                                                                                                                              <w:marRight w:val="0"/>
                                                                                                                              <w:marTop w:val="0"/>
                                                                                                                              <w:marBottom w:val="0"/>
                                                                                                                              <w:divBdr>
                                                                                                                                <w:top w:val="none" w:sz="0" w:space="0" w:color="auto"/>
                                                                                                                                <w:left w:val="none" w:sz="0" w:space="0" w:color="auto"/>
                                                                                                                                <w:bottom w:val="none" w:sz="0" w:space="0" w:color="auto"/>
                                                                                                                                <w:right w:val="none" w:sz="0" w:space="0" w:color="auto"/>
                                                                                                                              </w:divBdr>
                                                                                                                            </w:div>
                                                                                                                            <w:div w:id="839084975">
                                                                                                                              <w:marLeft w:val="0"/>
                                                                                                                              <w:marRight w:val="0"/>
                                                                                                                              <w:marTop w:val="0"/>
                                                                                                                              <w:marBottom w:val="0"/>
                                                                                                                              <w:divBdr>
                                                                                                                                <w:top w:val="none" w:sz="0" w:space="0" w:color="auto"/>
                                                                                                                                <w:left w:val="none" w:sz="0" w:space="0" w:color="auto"/>
                                                                                                                                <w:bottom w:val="none" w:sz="0" w:space="0" w:color="auto"/>
                                                                                                                                <w:right w:val="none" w:sz="0" w:space="0" w:color="auto"/>
                                                                                                                              </w:divBdr>
                                                                                                                            </w:div>
                                                                                                                            <w:div w:id="809176556">
                                                                                                                              <w:marLeft w:val="0"/>
                                                                                                                              <w:marRight w:val="0"/>
                                                                                                                              <w:marTop w:val="0"/>
                                                                                                                              <w:marBottom w:val="0"/>
                                                                                                                              <w:divBdr>
                                                                                                                                <w:top w:val="none" w:sz="0" w:space="0" w:color="auto"/>
                                                                                                                                <w:left w:val="none" w:sz="0" w:space="0" w:color="auto"/>
                                                                                                                                <w:bottom w:val="none" w:sz="0" w:space="0" w:color="auto"/>
                                                                                                                                <w:right w:val="none" w:sz="0" w:space="0" w:color="auto"/>
                                                                                                                              </w:divBdr>
                                                                                                                            </w:div>
                                                                                                                            <w:div w:id="544875255">
                                                                                                                              <w:marLeft w:val="0"/>
                                                                                                                              <w:marRight w:val="0"/>
                                                                                                                              <w:marTop w:val="0"/>
                                                                                                                              <w:marBottom w:val="0"/>
                                                                                                                              <w:divBdr>
                                                                                                                                <w:top w:val="none" w:sz="0" w:space="0" w:color="auto"/>
                                                                                                                                <w:left w:val="none" w:sz="0" w:space="0" w:color="auto"/>
                                                                                                                                <w:bottom w:val="none" w:sz="0" w:space="0" w:color="auto"/>
                                                                                                                                <w:right w:val="none" w:sz="0" w:space="0" w:color="auto"/>
                                                                                                                              </w:divBdr>
                                                                                                                            </w:div>
                                                                                                                            <w:div w:id="8682624">
                                                                                                                              <w:marLeft w:val="0"/>
                                                                                                                              <w:marRight w:val="0"/>
                                                                                                                              <w:marTop w:val="0"/>
                                                                                                                              <w:marBottom w:val="0"/>
                                                                                                                              <w:divBdr>
                                                                                                                                <w:top w:val="none" w:sz="0" w:space="0" w:color="auto"/>
                                                                                                                                <w:left w:val="none" w:sz="0" w:space="0" w:color="auto"/>
                                                                                                                                <w:bottom w:val="none" w:sz="0" w:space="0" w:color="auto"/>
                                                                                                                                <w:right w:val="none" w:sz="0" w:space="0" w:color="auto"/>
                                                                                                                              </w:divBdr>
                                                                                                                            </w:div>
                                                                                                                            <w:div w:id="1995139968">
                                                                                                                              <w:marLeft w:val="0"/>
                                                                                                                              <w:marRight w:val="0"/>
                                                                                                                              <w:marTop w:val="0"/>
                                                                                                                              <w:marBottom w:val="0"/>
                                                                                                                              <w:divBdr>
                                                                                                                                <w:top w:val="none" w:sz="0" w:space="0" w:color="auto"/>
                                                                                                                                <w:left w:val="none" w:sz="0" w:space="0" w:color="auto"/>
                                                                                                                                <w:bottom w:val="none" w:sz="0" w:space="0" w:color="auto"/>
                                                                                                                                <w:right w:val="none" w:sz="0" w:space="0" w:color="auto"/>
                                                                                                                              </w:divBdr>
                                                                                                                            </w:div>
                                                                                                                            <w:div w:id="791632428">
                                                                                                                              <w:marLeft w:val="0"/>
                                                                                                                              <w:marRight w:val="0"/>
                                                                                                                              <w:marTop w:val="0"/>
                                                                                                                              <w:marBottom w:val="0"/>
                                                                                                                              <w:divBdr>
                                                                                                                                <w:top w:val="none" w:sz="0" w:space="0" w:color="auto"/>
                                                                                                                                <w:left w:val="none" w:sz="0" w:space="0" w:color="auto"/>
                                                                                                                                <w:bottom w:val="none" w:sz="0" w:space="0" w:color="auto"/>
                                                                                                                                <w:right w:val="none" w:sz="0" w:space="0" w:color="auto"/>
                                                                                                                              </w:divBdr>
                                                                                                                            </w:div>
                                                                                                                            <w:div w:id="1943609707">
                                                                                                                              <w:marLeft w:val="0"/>
                                                                                                                              <w:marRight w:val="0"/>
                                                                                                                              <w:marTop w:val="0"/>
                                                                                                                              <w:marBottom w:val="0"/>
                                                                                                                              <w:divBdr>
                                                                                                                                <w:top w:val="none" w:sz="0" w:space="0" w:color="auto"/>
                                                                                                                                <w:left w:val="none" w:sz="0" w:space="0" w:color="auto"/>
                                                                                                                                <w:bottom w:val="none" w:sz="0" w:space="0" w:color="auto"/>
                                                                                                                                <w:right w:val="none" w:sz="0" w:space="0" w:color="auto"/>
                                                                                                                              </w:divBdr>
                                                                                                                            </w:div>
                                                                                                                            <w:div w:id="6360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85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295E4AD5D4484DAC424DF1032E4655" ma:contentTypeVersion="12" ma:contentTypeDescription="Create a new document." ma:contentTypeScope="" ma:versionID="477f81cac59059fb0773472b4eb4843b">
  <xsd:schema xmlns:xsd="http://www.w3.org/2001/XMLSchema" xmlns:xs="http://www.w3.org/2001/XMLSchema" xmlns:p="http://schemas.microsoft.com/office/2006/metadata/properties" xmlns:ns2="a46265d2-7525-4b38-a25e-fe244673536e" xmlns:ns3="5635a99b-cb56-4193-9bce-b35620bba419" targetNamespace="http://schemas.microsoft.com/office/2006/metadata/properties" ma:root="true" ma:fieldsID="494c52b9b19033770236c414347c6df0" ns2:_="" ns3:_="">
    <xsd:import namespace="a46265d2-7525-4b38-a25e-fe244673536e"/>
    <xsd:import namespace="5635a99b-cb56-4193-9bce-b35620bba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265d2-7525-4b38-a25e-fe2446735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5a99b-cb56-4193-9bce-b35620bba4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29AC6-F6C6-4955-9279-6F85166AE7F3}">
  <ds:schemaRefs>
    <ds:schemaRef ds:uri="http://schemas.microsoft.com/sharepoint/v3/contenttype/forms"/>
  </ds:schemaRefs>
</ds:datastoreItem>
</file>

<file path=customXml/itemProps2.xml><?xml version="1.0" encoding="utf-8"?>
<ds:datastoreItem xmlns:ds="http://schemas.openxmlformats.org/officeDocument/2006/customXml" ds:itemID="{80ABA451-8F24-4E3C-8CD1-1462407E6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265d2-7525-4b38-a25e-fe244673536e"/>
    <ds:schemaRef ds:uri="5635a99b-cb56-4193-9bce-b35620bba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FF6AE-AD3B-4ECA-BD85-BD1EAE4A18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635a99b-cb56-4193-9bce-b35620bba419"/>
    <ds:schemaRef ds:uri="http://purl.org/dc/elements/1.1/"/>
    <ds:schemaRef ds:uri="http://schemas.microsoft.com/office/2006/metadata/properties"/>
    <ds:schemaRef ds:uri="a46265d2-7525-4b38-a25e-fe244673536e"/>
    <ds:schemaRef ds:uri="http://www.w3.org/XML/1998/namespace"/>
    <ds:schemaRef ds:uri="http://purl.org/dc/dcmitype/"/>
  </ds:schemaRefs>
</ds:datastoreItem>
</file>

<file path=customXml/itemProps4.xml><?xml version="1.0" encoding="utf-8"?>
<ds:datastoreItem xmlns:ds="http://schemas.openxmlformats.org/officeDocument/2006/customXml" ds:itemID="{47BE5AD8-9D20-41E8-9227-71BDA382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6608</Words>
  <Characters>37666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Alex</dc:creator>
  <cp:keywords/>
  <dc:description/>
  <cp:lastModifiedBy>FitzGerald, Alex</cp:lastModifiedBy>
  <cp:revision>3</cp:revision>
  <cp:lastPrinted>2020-10-21T14:25:00Z</cp:lastPrinted>
  <dcterms:created xsi:type="dcterms:W3CDTF">2020-11-12T14:47:00Z</dcterms:created>
  <dcterms:modified xsi:type="dcterms:W3CDTF">2020-11-12T14:51:00Z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0x010100B0295E4AD5D4484DAC424DF1032E4655</vt:lpwstr>
  </property>
  <property fmtid="{D5CDD505-2E9C-101B-9397-08002B2CF9AE}" pid="3" name="Order">
    <vt:r8>352100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