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B2007" w:rsidRDefault="00D20845">
      <w:pPr>
        <w:widowControl w:val="0"/>
        <w:autoSpaceDE w:val="0"/>
        <w:autoSpaceDN w:val="0"/>
        <w:adjustRightInd w:val="0"/>
        <w:ind w:left="4725"/>
        <w:rPr>
          <w:sz w:val="24"/>
          <w:szCs w:val="24"/>
        </w:rPr>
      </w:pPr>
      <w:r>
        <w:rPr>
          <w:noProof/>
          <w:color w:val="000000"/>
          <w:sz w:val="2"/>
          <w:szCs w:val="2"/>
        </w:rPr>
        <w:drawing>
          <wp:inline distT="0" distB="0" distL="0" distR="0">
            <wp:extent cx="140208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1909"/>
      </w:tblGrid>
      <w:tr w:rsidR="00FB2007" w:rsidTr="003B0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0"/>
        </w:trPr>
        <w:tc>
          <w:tcPr>
            <w:tcW w:w="11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007" w:rsidRDefault="00FB200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2007" w:rsidTr="003B0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"/>
        </w:trPr>
        <w:tc>
          <w:tcPr>
            <w:tcW w:w="1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0A69" w:rsidRDefault="003B0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Allerdale Borough Council</w:t>
            </w:r>
          </w:p>
          <w:p w:rsidR="00FB2007" w:rsidRDefault="00FB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72"/>
                <w:szCs w:val="7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72"/>
                <w:szCs w:val="72"/>
              </w:rPr>
              <w:t>NOTICE OF ELECTION</w:t>
            </w:r>
          </w:p>
        </w:tc>
      </w:tr>
      <w:tr w:rsidR="00FB2007" w:rsidTr="003B0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1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2007" w:rsidRDefault="00FB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Election of Member of Parliament</w:t>
            </w:r>
          </w:p>
        </w:tc>
      </w:tr>
      <w:tr w:rsidR="00FB2007" w:rsidTr="003B0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B2007" w:rsidRDefault="00FB200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2007" w:rsidRDefault="00FB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31"/>
                <w:szCs w:val="3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1"/>
                <w:szCs w:val="31"/>
              </w:rPr>
              <w:t>for the</w:t>
            </w:r>
          </w:p>
        </w:tc>
      </w:tr>
      <w:tr w:rsidR="00FB2007" w:rsidTr="003B0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/>
        </w:trPr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</w:tcPr>
          <w:p w:rsidR="00FB2007" w:rsidRDefault="00FB200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119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B2007" w:rsidRPr="003B0A69" w:rsidRDefault="003B0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</w:pPr>
            <w:r w:rsidRPr="003B0A69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 xml:space="preserve">WORKINGTON </w:t>
            </w:r>
            <w:r w:rsidR="00FB2007" w:rsidRPr="003B0A69">
              <w:rPr>
                <w:rFonts w:ascii="Arial" w:hAnsi="Arial" w:cs="Arial"/>
                <w:b/>
                <w:bCs/>
                <w:color w:val="000000"/>
                <w:sz w:val="44"/>
                <w:szCs w:val="44"/>
              </w:rPr>
              <w:t>PARLIAMENTARY CONSTITUENCY</w:t>
            </w:r>
          </w:p>
        </w:tc>
      </w:tr>
      <w:tr w:rsidR="00FB2007" w:rsidTr="003B0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11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2007" w:rsidRDefault="00FB200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  <w:tr w:rsidR="00FB2007" w:rsidTr="003B0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/>
        </w:trPr>
        <w:tc>
          <w:tcPr>
            <w:tcW w:w="119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0A69" w:rsidRDefault="003B0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:rsidR="00FB2007" w:rsidRDefault="00FB20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NOTICE IS HEREBY GIVEN THAT</w:t>
            </w:r>
          </w:p>
          <w:p w:rsidR="003B0A69" w:rsidRDefault="003B0A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</w:tr>
    </w:tbl>
    <w:p w:rsidR="003B0A69" w:rsidRDefault="00FB2007" w:rsidP="003B0A69">
      <w:pPr>
        <w:widowControl w:val="0"/>
        <w:autoSpaceDE w:val="0"/>
        <w:autoSpaceDN w:val="0"/>
        <w:adjustRightInd w:val="0"/>
        <w:spacing w:before="150"/>
        <w:ind w:left="851" w:right="35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1. An election is to be held for ONE Member of Parliament for the WORKINGTON PARLIAMENTARY CONSTITUENCY in the</w:t>
      </w:r>
      <w:r>
        <w:rPr>
          <w:rFonts w:ascii="Arial" w:hAnsi="Arial" w:cs="Arial"/>
          <w:color w:val="000000"/>
          <w:sz w:val="19"/>
          <w:szCs w:val="19"/>
        </w:rPr>
        <w:br/>
        <w:t xml:space="preserve">    Allerdale Borough Council</w:t>
      </w:r>
      <w:r w:rsidR="00D20845">
        <w:rPr>
          <w:rFonts w:ascii="Arial" w:hAnsi="Arial" w:cs="Arial"/>
          <w:color w:val="000000"/>
          <w:sz w:val="19"/>
          <w:szCs w:val="19"/>
        </w:rPr>
        <w:t xml:space="preserve"> area</w:t>
      </w:r>
      <w:bookmarkStart w:id="0" w:name="_GoBack"/>
      <w:bookmarkEnd w:id="0"/>
    </w:p>
    <w:p w:rsidR="00FB2007" w:rsidRDefault="00FB2007" w:rsidP="003B0A69">
      <w:pPr>
        <w:widowControl w:val="0"/>
        <w:autoSpaceDE w:val="0"/>
        <w:autoSpaceDN w:val="0"/>
        <w:adjustRightInd w:val="0"/>
        <w:spacing w:before="150"/>
        <w:ind w:left="851" w:right="356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 xml:space="preserve">2. Nomination papers must be delivered during </w:t>
      </w:r>
      <w:r w:rsidR="008C53C5">
        <w:rPr>
          <w:rFonts w:ascii="Arial" w:hAnsi="Arial" w:cs="Arial"/>
          <w:color w:val="000000"/>
          <w:sz w:val="19"/>
          <w:szCs w:val="19"/>
        </w:rPr>
        <w:t>normal office hours</w:t>
      </w:r>
      <w:r>
        <w:rPr>
          <w:rFonts w:ascii="Arial" w:hAnsi="Arial" w:cs="Arial"/>
          <w:color w:val="000000"/>
          <w:sz w:val="19"/>
          <w:szCs w:val="19"/>
        </w:rPr>
        <w:t xml:space="preserve"> to the Acting Returning Officer at the</w:t>
      </w:r>
      <w:r w:rsidR="008C53C5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 xml:space="preserve">offices of Allerdale </w:t>
      </w:r>
      <w:r w:rsidR="008C53C5">
        <w:rPr>
          <w:rFonts w:ascii="Arial" w:hAnsi="Arial" w:cs="Arial"/>
          <w:color w:val="000000"/>
          <w:sz w:val="19"/>
          <w:szCs w:val="19"/>
        </w:rPr>
        <w:t xml:space="preserve">   </w:t>
      </w:r>
      <w:r>
        <w:rPr>
          <w:rFonts w:ascii="Arial" w:hAnsi="Arial" w:cs="Arial"/>
          <w:color w:val="000000"/>
          <w:sz w:val="19"/>
          <w:szCs w:val="19"/>
        </w:rPr>
        <w:t>Borough Council from the day after the date of this notice but not later than</w:t>
      </w:r>
      <w:r w:rsidR="008C53C5">
        <w:rPr>
          <w:rFonts w:ascii="Arial" w:hAnsi="Arial" w:cs="Arial"/>
          <w:color w:val="000000"/>
          <w:sz w:val="19"/>
          <w:szCs w:val="19"/>
        </w:rPr>
        <w:t xml:space="preserve"> </w:t>
      </w:r>
      <w:r>
        <w:rPr>
          <w:rFonts w:ascii="Arial" w:hAnsi="Arial" w:cs="Arial"/>
          <w:color w:val="000000"/>
          <w:sz w:val="19"/>
          <w:szCs w:val="19"/>
        </w:rPr>
        <w:t>4pm on 14 November 2019.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3. Nomination papers may be obtained from the Acting Returning Officer at the offices of Allerdale Borough Council</w:t>
      </w:r>
      <w:r>
        <w:rPr>
          <w:rFonts w:ascii="Arial" w:hAnsi="Arial" w:cs="Arial"/>
          <w:color w:val="000000"/>
          <w:sz w:val="19"/>
          <w:szCs w:val="19"/>
        </w:rPr>
        <w:br/>
        <w:t xml:space="preserve">    who will, at the request of any elector for the electoral area, prepare a nomination paper for signature.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4. A deposit of £500.00 must be paid in cash</w:t>
      </w:r>
      <w:r w:rsidR="003B0A69">
        <w:rPr>
          <w:rFonts w:ascii="Arial" w:hAnsi="Arial" w:cs="Arial"/>
          <w:color w:val="000000"/>
          <w:sz w:val="19"/>
          <w:szCs w:val="19"/>
        </w:rPr>
        <w:t xml:space="preserve">, by banker’s draft, </w:t>
      </w:r>
      <w:r>
        <w:rPr>
          <w:rFonts w:ascii="Arial" w:hAnsi="Arial" w:cs="Arial"/>
          <w:color w:val="000000"/>
          <w:sz w:val="19"/>
          <w:szCs w:val="19"/>
        </w:rPr>
        <w:t>by</w:t>
      </w:r>
      <w:r w:rsidR="003B0A69">
        <w:rPr>
          <w:rFonts w:ascii="Arial" w:hAnsi="Arial" w:cs="Arial"/>
          <w:color w:val="000000"/>
          <w:sz w:val="19"/>
          <w:szCs w:val="19"/>
        </w:rPr>
        <w:t xml:space="preserve"> electronic transfer or money or card payment by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8C53C5">
        <w:rPr>
          <w:rFonts w:ascii="Arial" w:hAnsi="Arial" w:cs="Arial"/>
          <w:color w:val="000000"/>
          <w:sz w:val="19"/>
          <w:szCs w:val="19"/>
        </w:rPr>
        <w:t>4</w:t>
      </w:r>
      <w:r>
        <w:rPr>
          <w:rFonts w:ascii="Arial" w:hAnsi="Arial" w:cs="Arial"/>
          <w:color w:val="000000"/>
          <w:sz w:val="19"/>
          <w:szCs w:val="19"/>
        </w:rPr>
        <w:t>pm on</w:t>
      </w:r>
      <w:r w:rsidR="003B0A69">
        <w:rPr>
          <w:rFonts w:ascii="Arial" w:hAnsi="Arial" w:cs="Arial"/>
          <w:color w:val="000000"/>
          <w:sz w:val="19"/>
          <w:szCs w:val="19"/>
        </w:rPr>
        <w:t xml:space="preserve">                        </w:t>
      </w:r>
      <w:r>
        <w:rPr>
          <w:rFonts w:ascii="Arial" w:hAnsi="Arial" w:cs="Arial"/>
          <w:color w:val="000000"/>
          <w:sz w:val="19"/>
          <w:szCs w:val="19"/>
        </w:rPr>
        <w:t xml:space="preserve"> </w:t>
      </w:r>
      <w:r w:rsidR="003B0A69">
        <w:rPr>
          <w:rFonts w:ascii="Arial" w:hAnsi="Arial" w:cs="Arial"/>
          <w:color w:val="000000"/>
          <w:sz w:val="19"/>
          <w:szCs w:val="19"/>
        </w:rPr>
        <w:t xml:space="preserve">    </w:t>
      </w:r>
      <w:r>
        <w:rPr>
          <w:rFonts w:ascii="Arial" w:hAnsi="Arial" w:cs="Arial"/>
          <w:color w:val="000000"/>
          <w:sz w:val="19"/>
          <w:szCs w:val="19"/>
        </w:rPr>
        <w:t xml:space="preserve">14 November 2019. </w:t>
      </w:r>
      <w:r>
        <w:rPr>
          <w:rFonts w:ascii="Arial" w:hAnsi="Arial" w:cs="Arial"/>
          <w:color w:val="000000"/>
          <w:sz w:val="19"/>
          <w:szCs w:val="19"/>
        </w:rPr>
        <w:br/>
        <w:t xml:space="preserve">   </w:t>
      </w:r>
      <w:r>
        <w:rPr>
          <w:rFonts w:ascii="Arial" w:hAnsi="Arial" w:cs="Arial"/>
          <w:color w:val="000000"/>
          <w:sz w:val="19"/>
          <w:szCs w:val="19"/>
        </w:rPr>
        <w:br/>
        <w:t>5. If the election is contested, the poll in respect of such election will take place on 12 December 2019.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6. Applications to be included in the Register of Electors must reach the Electoral Registration Officer at the offices of</w:t>
      </w:r>
      <w:r>
        <w:rPr>
          <w:rFonts w:ascii="Arial" w:hAnsi="Arial" w:cs="Arial"/>
          <w:color w:val="000000"/>
          <w:sz w:val="19"/>
          <w:szCs w:val="19"/>
        </w:rPr>
        <w:br/>
        <w:t xml:space="preserve">    Allerdale Borough Council by </w:t>
      </w:r>
      <w:r w:rsidR="003B0A69">
        <w:rPr>
          <w:rFonts w:ascii="Arial" w:hAnsi="Arial" w:cs="Arial"/>
          <w:color w:val="000000"/>
          <w:sz w:val="19"/>
          <w:szCs w:val="19"/>
        </w:rPr>
        <w:t>midnight on 26 November 2019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7. Electors should take note that new applications to vote by post or to change applications to change or cancel</w:t>
      </w:r>
      <w:r>
        <w:rPr>
          <w:rFonts w:ascii="Arial" w:hAnsi="Arial" w:cs="Arial"/>
          <w:color w:val="000000"/>
          <w:sz w:val="19"/>
          <w:szCs w:val="19"/>
        </w:rPr>
        <w:br/>
        <w:t xml:space="preserve">    an existing postal or proxy vote must reach the Electoral Registration Officer at the offices of</w:t>
      </w:r>
      <w:r>
        <w:rPr>
          <w:rFonts w:ascii="Arial" w:hAnsi="Arial" w:cs="Arial"/>
          <w:color w:val="000000"/>
          <w:sz w:val="19"/>
          <w:szCs w:val="19"/>
        </w:rPr>
        <w:br/>
        <w:t xml:space="preserve">    Allerdale Borough Council not later than 5pm on 26 November 2019 if they are to be effective</w:t>
      </w:r>
      <w:r>
        <w:rPr>
          <w:rFonts w:ascii="Arial" w:hAnsi="Arial" w:cs="Arial"/>
          <w:color w:val="000000"/>
          <w:sz w:val="19"/>
          <w:szCs w:val="19"/>
        </w:rPr>
        <w:br/>
        <w:t xml:space="preserve">    for this election.</w:t>
      </w:r>
      <w:r>
        <w:rPr>
          <w:rFonts w:ascii="Arial" w:hAnsi="Arial" w:cs="Arial"/>
          <w:color w:val="000000"/>
          <w:sz w:val="19"/>
          <w:szCs w:val="19"/>
        </w:rPr>
        <w:br/>
      </w:r>
      <w:r>
        <w:rPr>
          <w:rFonts w:ascii="Arial" w:hAnsi="Arial" w:cs="Arial"/>
          <w:color w:val="000000"/>
          <w:sz w:val="19"/>
          <w:szCs w:val="19"/>
        </w:rPr>
        <w:br/>
        <w:t>8. New applications to vote by proxy must be received by the Electoral Registration Officer at the offices of</w:t>
      </w:r>
      <w:r>
        <w:rPr>
          <w:rFonts w:ascii="Arial" w:hAnsi="Arial" w:cs="Arial"/>
          <w:color w:val="000000"/>
          <w:sz w:val="19"/>
          <w:szCs w:val="19"/>
        </w:rPr>
        <w:br/>
        <w:t xml:space="preserve">    Allerdale Borough Council not later than 5pm on 4 December 2019 if they are to be effective for this election,</w:t>
      </w:r>
      <w:r>
        <w:rPr>
          <w:rFonts w:ascii="Arial" w:hAnsi="Arial" w:cs="Arial"/>
          <w:color w:val="000000"/>
          <w:sz w:val="19"/>
          <w:szCs w:val="19"/>
        </w:rPr>
        <w:br/>
        <w:t xml:space="preserve">    except applications to vote by proxy on grounds of emergency (medical or work related) occurring after</w:t>
      </w:r>
      <w:r>
        <w:rPr>
          <w:rFonts w:ascii="Arial" w:hAnsi="Arial" w:cs="Arial"/>
          <w:color w:val="000000"/>
          <w:sz w:val="19"/>
          <w:szCs w:val="19"/>
        </w:rPr>
        <w:br/>
        <w:t xml:space="preserve">    5pm on 4 December 2019. Such applications may be made not later than 5pm on 12 December 2019</w:t>
      </w:r>
    </w:p>
    <w:p w:rsidR="003B0A69" w:rsidRDefault="003B0A69" w:rsidP="003B0A69">
      <w:pPr>
        <w:widowControl w:val="0"/>
        <w:autoSpaceDE w:val="0"/>
        <w:autoSpaceDN w:val="0"/>
        <w:adjustRightInd w:val="0"/>
        <w:spacing w:before="150"/>
        <w:ind w:left="851" w:right="356"/>
        <w:rPr>
          <w:rFonts w:ascii="Arial" w:hAnsi="Arial" w:cs="Arial"/>
          <w:color w:val="000000"/>
          <w:sz w:val="19"/>
          <w:szCs w:val="19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0"/>
        <w:gridCol w:w="2850"/>
        <w:gridCol w:w="420"/>
        <w:gridCol w:w="7380"/>
      </w:tblGrid>
      <w:tr w:rsidR="003B0A69" w:rsidTr="00D228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380" w:type="dxa"/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3B0A69" w:rsidRDefault="003B0A69" w:rsidP="003B0A69">
            <w:pPr>
              <w:widowControl w:val="0"/>
              <w:autoSpaceDE w:val="0"/>
              <w:autoSpaceDN w:val="0"/>
              <w:adjustRightInd w:val="0"/>
              <w:ind w:left="567" w:right="28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DATED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A69" w:rsidRDefault="003B0A69" w:rsidP="00D228AD">
            <w:pPr>
              <w:widowControl w:val="0"/>
              <w:autoSpaceDE w:val="0"/>
              <w:autoSpaceDN w:val="0"/>
              <w:adjustRightInd w:val="0"/>
              <w:ind w:left="28" w:right="28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8 November 2019</w:t>
            </w:r>
          </w:p>
        </w:tc>
      </w:tr>
      <w:tr w:rsidR="003B0A69" w:rsidTr="00D228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800" w:type="dxa"/>
          <w:trHeight w:hRule="exact" w:val="60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0A69" w:rsidRDefault="003B0A69" w:rsidP="003B0A69">
            <w:pPr>
              <w:widowControl w:val="0"/>
              <w:autoSpaceDE w:val="0"/>
              <w:autoSpaceDN w:val="0"/>
              <w:adjustRightInd w:val="0"/>
              <w:ind w:left="567"/>
              <w:rPr>
                <w:sz w:val="2"/>
                <w:szCs w:val="2"/>
              </w:rPr>
            </w:pPr>
          </w:p>
        </w:tc>
      </w:tr>
      <w:tr w:rsidR="003B0A69" w:rsidTr="00D228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800" w:type="dxa"/>
          <w:trHeight w:val="315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0A69" w:rsidRDefault="003B0A69" w:rsidP="003B0A69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Andrew Seekings</w:t>
            </w:r>
          </w:p>
        </w:tc>
      </w:tr>
      <w:tr w:rsidR="003B0A69" w:rsidTr="00D228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7800" w:type="dxa"/>
          <w:trHeight w:val="315"/>
        </w:trPr>
        <w:tc>
          <w:tcPr>
            <w:tcW w:w="3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0A69" w:rsidRDefault="003B0A69" w:rsidP="003B0A69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Acting Returning Officer</w:t>
            </w:r>
          </w:p>
        </w:tc>
      </w:tr>
      <w:tr w:rsidR="003B0A69" w:rsidTr="00D228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"/>
        </w:trPr>
        <w:tc>
          <w:tcPr>
            <w:tcW w:w="64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0A69" w:rsidRDefault="003B0A69" w:rsidP="003B0A69">
            <w:pPr>
              <w:widowControl w:val="0"/>
              <w:autoSpaceDE w:val="0"/>
              <w:autoSpaceDN w:val="0"/>
              <w:adjustRightInd w:val="0"/>
              <w:ind w:left="567"/>
              <w:rPr>
                <w:sz w:val="2"/>
                <w:szCs w:val="2"/>
              </w:rPr>
            </w:pPr>
          </w:p>
        </w:tc>
      </w:tr>
      <w:tr w:rsidR="003B0A69" w:rsidTr="00D228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0A69" w:rsidRDefault="003B0A69" w:rsidP="003B0A69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Allerdale Borough Council</w:t>
            </w:r>
          </w:p>
        </w:tc>
      </w:tr>
      <w:tr w:rsidR="003B0A69" w:rsidTr="00D228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6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0A69" w:rsidRDefault="003B0A69" w:rsidP="003B0A69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Allerdale House</w:t>
            </w:r>
          </w:p>
        </w:tc>
      </w:tr>
      <w:tr w:rsidR="003B0A69" w:rsidTr="00D228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/>
        </w:trPr>
        <w:tc>
          <w:tcPr>
            <w:tcW w:w="6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0A69" w:rsidRDefault="003B0A69" w:rsidP="003B0A69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Workington</w:t>
            </w:r>
          </w:p>
        </w:tc>
      </w:tr>
      <w:tr w:rsidR="003B0A69" w:rsidTr="00D228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0A69" w:rsidRDefault="003B0A69" w:rsidP="003B0A69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Cumbria</w:t>
            </w:r>
          </w:p>
        </w:tc>
      </w:tr>
      <w:tr w:rsidR="003B0A69" w:rsidTr="00D228A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/>
        </w:trPr>
        <w:tc>
          <w:tcPr>
            <w:tcW w:w="6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B0A69" w:rsidRDefault="003B0A69" w:rsidP="003B0A69">
            <w:pPr>
              <w:widowControl w:val="0"/>
              <w:autoSpaceDE w:val="0"/>
              <w:autoSpaceDN w:val="0"/>
              <w:adjustRightInd w:val="0"/>
              <w:ind w:left="567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CA14 3YJ</w:t>
            </w:r>
          </w:p>
        </w:tc>
      </w:tr>
    </w:tbl>
    <w:p w:rsidR="003B0A69" w:rsidRDefault="003B0A69" w:rsidP="003B0A69">
      <w:pPr>
        <w:widowControl w:val="0"/>
        <w:autoSpaceDE w:val="0"/>
        <w:autoSpaceDN w:val="0"/>
        <w:adjustRightInd w:val="0"/>
        <w:spacing w:before="150"/>
        <w:ind w:left="426" w:right="356" w:hanging="53"/>
        <w:rPr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780"/>
        <w:gridCol w:w="3270"/>
        <w:gridCol w:w="4620"/>
        <w:gridCol w:w="2580"/>
      </w:tblGrid>
      <w:tr w:rsidR="00FB2007" w:rsidTr="003B0A6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0"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FB2007" w:rsidRDefault="00FB200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FB2007" w:rsidRDefault="00FB200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</w:tcPr>
          <w:p w:rsidR="00FB2007" w:rsidRDefault="00FB200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FB2007" w:rsidRDefault="00FB200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</w:tcPr>
          <w:p w:rsidR="00FB2007" w:rsidRDefault="00FB2007">
            <w:pPr>
              <w:widowControl w:val="0"/>
              <w:autoSpaceDE w:val="0"/>
              <w:autoSpaceDN w:val="0"/>
              <w:adjustRightInd w:val="0"/>
              <w:rPr>
                <w:sz w:val="2"/>
                <w:szCs w:val="2"/>
              </w:rPr>
            </w:pPr>
          </w:p>
        </w:tc>
      </w:tr>
    </w:tbl>
    <w:p w:rsidR="00FB2007" w:rsidRDefault="00FB2007" w:rsidP="003B0A69"/>
    <w:p w:rsidR="003B0A69" w:rsidRDefault="003B0A69" w:rsidP="003B0A69">
      <w:pPr>
        <w:jc w:val="center"/>
      </w:pPr>
      <w:r>
        <w:rPr>
          <w:rFonts w:ascii="Arial" w:hAnsi="Arial" w:cs="Arial"/>
          <w:color w:val="808080"/>
          <w:sz w:val="12"/>
          <w:szCs w:val="12"/>
        </w:rPr>
        <w:t>Printed and published by the Acting Returning Officer, Allerdale Borough Council, Allerdale House Workington Cumbria  CA14 3YJ</w:t>
      </w:r>
    </w:p>
    <w:sectPr w:rsidR="003B0A69">
      <w:pgSz w:w="12240" w:h="15840"/>
      <w:pgMar w:top="230" w:right="144" w:bottom="14" w:left="17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69"/>
    <w:rsid w:val="003B0A69"/>
    <w:rsid w:val="008C53C5"/>
    <w:rsid w:val="00D20845"/>
    <w:rsid w:val="00D228AD"/>
    <w:rsid w:val="00FB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B35AD7"/>
  <w14:defaultImageDpi w14:val="0"/>
  <w15:docId w15:val="{88B57196-E4C5-4DFE-B836-586C85E6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Lindsay</dc:creator>
  <cp:keywords/>
  <dc:description/>
  <cp:lastModifiedBy>Tomlinson, Lindsay</cp:lastModifiedBy>
  <cp:revision>2</cp:revision>
  <dcterms:created xsi:type="dcterms:W3CDTF">2019-11-08T13:29:00Z</dcterms:created>
  <dcterms:modified xsi:type="dcterms:W3CDTF">2019-11-08T13:29:00Z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18.2.7.0</vt:lpwstr>
  </property>
</Properties>
</file>