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7262A2" w:rsidP="00D17EF1" w:rsidRDefault="00D76E29" w14:paraId="39AADC94" w14:textId="0E34DB85">
      <w:pPr>
        <w:spacing w:after="0" w:line="240" w:lineRule="auto"/>
        <w:rPr>
          <w:rFonts w:ascii="Arial" w:hAnsi="Arial" w:cs="Arial"/>
          <w:b/>
          <w:color w:val="1F4E79" w:themeColor="accent1" w:themeShade="80"/>
          <w:sz w:val="36"/>
        </w:rPr>
      </w:pPr>
      <w:r>
        <w:rPr>
          <w:rFonts w:ascii="Arial" w:hAnsi="Arial" w:cs="Arial"/>
          <w:b/>
          <w:noProof/>
          <w:color w:val="1F4E79" w:themeColor="accent1" w:themeShade="80"/>
          <w:sz w:val="36"/>
          <w:lang w:eastAsia="en-GB"/>
        </w:rPr>
        <w:drawing>
          <wp:anchor distT="0" distB="0" distL="114300" distR="114300" simplePos="0" relativeHeight="251656704" behindDoc="1" locked="0" layoutInCell="1" allowOverlap="1" wp14:anchorId="34AD926C" wp14:editId="08E223A1">
            <wp:simplePos x="0" y="0"/>
            <wp:positionH relativeFrom="column">
              <wp:posOffset>-1053526</wp:posOffset>
            </wp:positionH>
            <wp:positionV relativeFrom="paragraph">
              <wp:posOffset>-751205</wp:posOffset>
            </wp:positionV>
            <wp:extent cx="7876346" cy="11981791"/>
            <wp:effectExtent l="0" t="0" r="0" b="1270"/>
            <wp:wrapNone/>
            <wp:docPr id="2" name="Picture 3" descr="A4fram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A4frame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76346" cy="11981791"/>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Pr>
          <w:rFonts w:ascii="Arial" w:hAnsi="Arial" w:cs="Arial"/>
          <w:b/>
          <w:noProof/>
          <w:color w:val="1F4E79" w:themeColor="accent1" w:themeShade="80"/>
          <w:sz w:val="36"/>
          <w:lang w:eastAsia="en-GB"/>
        </w:rPr>
        <w:drawing>
          <wp:anchor distT="0" distB="0" distL="114300" distR="114300" simplePos="0" relativeHeight="251657728" behindDoc="1" locked="0" layoutInCell="1" allowOverlap="1" wp14:anchorId="66E65C0A" wp14:editId="1CD635F7">
            <wp:simplePos x="0" y="0"/>
            <wp:positionH relativeFrom="column">
              <wp:posOffset>5132705</wp:posOffset>
            </wp:positionH>
            <wp:positionV relativeFrom="paragraph">
              <wp:posOffset>-302607</wp:posOffset>
            </wp:positionV>
            <wp:extent cx="1259457" cy="1213384"/>
            <wp:effectExtent l="19050" t="19050" r="17145" b="25400"/>
            <wp:wrapNone/>
            <wp:docPr id="5" name="Picture 6" descr="Allerda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Allerdale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9457" cy="1213384"/>
                    </a:xfrm>
                    <a:prstGeom prst="rect">
                      <a:avLst/>
                    </a:prstGeom>
                    <a:noFill/>
                    <a:ln w="19050">
                      <a:solidFill>
                        <a:srgbClr val="FFFFFF"/>
                      </a:solidFill>
                      <a:miter lim="800000"/>
                      <a:headEnd/>
                      <a:tailEnd/>
                    </a:ln>
                    <a:extLst/>
                  </pic:spPr>
                </pic:pic>
              </a:graphicData>
            </a:graphic>
            <wp14:sizeRelH relativeFrom="margin">
              <wp14:pctWidth>0</wp14:pctWidth>
            </wp14:sizeRelH>
            <wp14:sizeRelV relativeFrom="margin">
              <wp14:pctHeight>0</wp14:pctHeight>
            </wp14:sizeRelV>
          </wp:anchor>
        </w:drawing>
      </w:r>
    </w:p>
    <w:p w:rsidR="007262A2" w:rsidP="00D17EF1" w:rsidRDefault="007262A2" w14:paraId="5E4A75D5" w14:textId="78BF4854">
      <w:pPr>
        <w:spacing w:after="0" w:line="240" w:lineRule="auto"/>
        <w:rPr>
          <w:rFonts w:ascii="Arial" w:hAnsi="Arial" w:cs="Arial"/>
          <w:b/>
          <w:color w:val="1F4E79" w:themeColor="accent1" w:themeShade="80"/>
          <w:sz w:val="36"/>
        </w:rPr>
      </w:pPr>
    </w:p>
    <w:p w:rsidR="007262A2" w:rsidP="00D17EF1" w:rsidRDefault="007262A2" w14:paraId="2098FFC4" w14:textId="77777777">
      <w:pPr>
        <w:spacing w:after="0" w:line="240" w:lineRule="auto"/>
        <w:rPr>
          <w:rFonts w:ascii="Arial" w:hAnsi="Arial" w:cs="Arial"/>
          <w:b/>
          <w:color w:val="1F4E79" w:themeColor="accent1" w:themeShade="80"/>
          <w:sz w:val="36"/>
        </w:rPr>
      </w:pPr>
    </w:p>
    <w:p w:rsidR="00B115D8" w:rsidP="00F957FE" w:rsidRDefault="00B115D8" w14:paraId="28B09762" w14:textId="77777777">
      <w:pPr>
        <w:spacing w:before="240" w:after="0" w:line="240" w:lineRule="auto"/>
        <w:ind w:left="-357" w:right="-720"/>
        <w:rPr>
          <w:rFonts w:ascii="Arial" w:hAnsi="Arial" w:cs="Arial"/>
          <w:b/>
          <w:color w:val="4472C4" w:themeColor="accent5"/>
          <w:sz w:val="42"/>
          <w:szCs w:val="42"/>
        </w:rPr>
      </w:pPr>
    </w:p>
    <w:p w:rsidRPr="00C564E3" w:rsidR="00864C2A" w:rsidP="00F957FE" w:rsidRDefault="00D17EF1" w14:paraId="2C078E63" w14:textId="2E26FC7A">
      <w:pPr>
        <w:spacing w:before="240" w:after="0" w:line="240" w:lineRule="auto"/>
        <w:ind w:left="-357" w:right="-720"/>
        <w:rPr>
          <w:rFonts w:ascii="Arial" w:hAnsi="Arial" w:cs="Arial"/>
          <w:b/>
          <w:color w:val="4472C4" w:themeColor="accent5"/>
          <w:sz w:val="42"/>
          <w:szCs w:val="42"/>
        </w:rPr>
      </w:pPr>
      <w:r w:rsidRPr="00C564E3">
        <w:rPr>
          <w:rFonts w:ascii="Arial" w:hAnsi="Arial" w:cs="Arial"/>
          <w:b/>
          <w:color w:val="4472C4" w:themeColor="accent5"/>
          <w:sz w:val="42"/>
          <w:szCs w:val="42"/>
        </w:rPr>
        <w:t>Quarterly corporate performance report</w:t>
      </w:r>
    </w:p>
    <w:p w:rsidR="00D17EF1" w:rsidP="007262A2" w:rsidRDefault="00D17EF1" w14:paraId="6C2FD49F" w14:textId="77777777">
      <w:pPr>
        <w:spacing w:after="0" w:line="240" w:lineRule="auto"/>
        <w:ind w:left="-360" w:right="-720"/>
        <w:rPr>
          <w:rFonts w:ascii="Arial" w:hAnsi="Arial" w:cs="Arial"/>
          <w:sz w:val="24"/>
        </w:rPr>
      </w:pPr>
    </w:p>
    <w:p w:rsidRPr="007262A2" w:rsidR="00D17EF1" w:rsidP="007262A2" w:rsidRDefault="00B72BF0" w14:paraId="4490EF19" w14:textId="06169E44">
      <w:pPr>
        <w:spacing w:after="0" w:line="240" w:lineRule="auto"/>
        <w:ind w:left="-360" w:right="-720"/>
        <w:rPr>
          <w:rFonts w:ascii="Arial" w:hAnsi="Arial" w:cs="Arial"/>
          <w:b/>
          <w:sz w:val="28"/>
        </w:rPr>
      </w:pPr>
      <w:r>
        <w:rPr>
          <w:rFonts w:ascii="Arial" w:hAnsi="Arial" w:cs="Arial"/>
          <w:b/>
          <w:sz w:val="28"/>
        </w:rPr>
        <w:t xml:space="preserve">2018/19 </w:t>
      </w:r>
      <w:r w:rsidR="00C564E3">
        <w:rPr>
          <w:rFonts w:ascii="Arial" w:hAnsi="Arial" w:cs="Arial"/>
          <w:b/>
          <w:sz w:val="28"/>
        </w:rPr>
        <w:t>Q</w:t>
      </w:r>
      <w:r w:rsidRPr="007D3C37" w:rsidR="00D17EF1">
        <w:rPr>
          <w:rFonts w:ascii="Arial" w:hAnsi="Arial" w:cs="Arial"/>
          <w:b/>
          <w:sz w:val="28"/>
        </w:rPr>
        <w:t>uarter</w:t>
      </w:r>
      <w:r w:rsidRPr="007D3C37" w:rsidR="007262A2">
        <w:rPr>
          <w:rFonts w:ascii="Arial" w:hAnsi="Arial" w:cs="Arial"/>
          <w:b/>
          <w:sz w:val="28"/>
        </w:rPr>
        <w:t xml:space="preserve"> </w:t>
      </w:r>
      <w:r w:rsidR="008B6466">
        <w:rPr>
          <w:rFonts w:ascii="Arial" w:hAnsi="Arial" w:cs="Arial"/>
          <w:b/>
          <w:sz w:val="28"/>
        </w:rPr>
        <w:t>4</w:t>
      </w:r>
      <w:r w:rsidRPr="007D3C37" w:rsidR="00D17EF1">
        <w:rPr>
          <w:rFonts w:ascii="Arial" w:hAnsi="Arial" w:cs="Arial"/>
          <w:b/>
          <w:sz w:val="28"/>
        </w:rPr>
        <w:t xml:space="preserve"> </w:t>
      </w:r>
      <w:r>
        <w:rPr>
          <w:rFonts w:ascii="Arial" w:hAnsi="Arial" w:cs="Arial"/>
          <w:b/>
          <w:sz w:val="28"/>
        </w:rPr>
        <w:t xml:space="preserve">and end of year </w:t>
      </w:r>
      <w:r w:rsidRPr="007D3C37" w:rsidR="00D17EF1">
        <w:rPr>
          <w:rFonts w:ascii="Arial" w:hAnsi="Arial" w:cs="Arial"/>
          <w:b/>
          <w:sz w:val="28"/>
        </w:rPr>
        <w:t>performance</w:t>
      </w:r>
    </w:p>
    <w:p w:rsidR="00D17EF1" w:rsidP="007262A2" w:rsidRDefault="00D17EF1" w14:paraId="677618D3" w14:textId="77777777">
      <w:pPr>
        <w:spacing w:after="0" w:line="240" w:lineRule="auto"/>
        <w:ind w:left="-360" w:right="-720"/>
        <w:rPr>
          <w:rFonts w:ascii="Arial" w:hAnsi="Arial" w:cs="Arial"/>
          <w:sz w:val="24"/>
        </w:rPr>
      </w:pPr>
    </w:p>
    <w:p w:rsidRPr="00A57C11" w:rsidR="00D17EF1" w:rsidP="007262A2" w:rsidRDefault="00D17EF1" w14:paraId="639F04CA" w14:textId="0D74DFA5">
      <w:pPr>
        <w:spacing w:after="0" w:line="240" w:lineRule="auto"/>
        <w:ind w:left="-360" w:right="-720"/>
        <w:rPr>
          <w:rFonts w:ascii="Arial" w:hAnsi="Arial" w:cs="Arial"/>
          <w:sz w:val="24"/>
          <w:szCs w:val="23"/>
        </w:rPr>
      </w:pPr>
      <w:r w:rsidRPr="00A57C11">
        <w:rPr>
          <w:rFonts w:ascii="Arial" w:hAnsi="Arial" w:cs="Arial"/>
          <w:sz w:val="24"/>
          <w:szCs w:val="23"/>
        </w:rPr>
        <w:t xml:space="preserve">This </w:t>
      </w:r>
      <w:r w:rsidRPr="00A57C11" w:rsidR="0096022D">
        <w:rPr>
          <w:rFonts w:ascii="Arial" w:hAnsi="Arial" w:cs="Arial"/>
          <w:sz w:val="24"/>
          <w:szCs w:val="23"/>
        </w:rPr>
        <w:t xml:space="preserve">performance report summarises our performance during the fourth quarter of 2018/19 covering the period from 1 January to 31 March 2019 and the end of year position for 2018/19, which was the fourth and final year of our previous Council Plan.  The report </w:t>
      </w:r>
      <w:r w:rsidRPr="00A57C11">
        <w:rPr>
          <w:rFonts w:ascii="Arial" w:hAnsi="Arial" w:cs="Arial"/>
          <w:sz w:val="24"/>
          <w:szCs w:val="23"/>
        </w:rPr>
        <w:t>contains:</w:t>
      </w:r>
    </w:p>
    <w:p w:rsidRPr="00A57C11" w:rsidR="00D17EF1" w:rsidP="007262A2" w:rsidRDefault="00D17EF1" w14:paraId="23E30479" w14:textId="77777777">
      <w:pPr>
        <w:spacing w:after="0" w:line="240" w:lineRule="auto"/>
        <w:ind w:left="-360" w:right="-720"/>
        <w:rPr>
          <w:rFonts w:ascii="Arial" w:hAnsi="Arial" w:cs="Arial"/>
          <w:sz w:val="24"/>
          <w:szCs w:val="23"/>
        </w:rPr>
      </w:pPr>
    </w:p>
    <w:p w:rsidRPr="00A57C11" w:rsidR="00D17EF1" w:rsidP="007262A2" w:rsidRDefault="00011DFC" w14:paraId="7911BF8E" w14:textId="759A2498">
      <w:pPr>
        <w:pStyle w:val="ListParagraph"/>
        <w:numPr>
          <w:ilvl w:val="0"/>
          <w:numId w:val="1"/>
        </w:numPr>
        <w:tabs>
          <w:tab w:val="left" w:pos="270"/>
        </w:tabs>
        <w:spacing w:after="120" w:line="240" w:lineRule="auto"/>
        <w:ind w:left="-90" w:right="-720" w:firstLine="0"/>
        <w:contextualSpacing w:val="0"/>
        <w:rPr>
          <w:rFonts w:ascii="Arial" w:hAnsi="Arial" w:cs="Arial"/>
          <w:sz w:val="24"/>
          <w:szCs w:val="23"/>
        </w:rPr>
      </w:pPr>
      <w:r w:rsidRPr="00A57C11">
        <w:rPr>
          <w:rFonts w:ascii="Arial" w:hAnsi="Arial" w:cs="Arial"/>
          <w:sz w:val="24"/>
          <w:szCs w:val="23"/>
        </w:rPr>
        <w:t xml:space="preserve">A short overview of our </w:t>
      </w:r>
      <w:r w:rsidRPr="00A57C11" w:rsidR="00AE0997">
        <w:rPr>
          <w:rFonts w:ascii="Arial" w:hAnsi="Arial" w:cs="Arial"/>
          <w:sz w:val="24"/>
          <w:szCs w:val="23"/>
        </w:rPr>
        <w:t>Q</w:t>
      </w:r>
      <w:r w:rsidRPr="00A57C11" w:rsidR="00D20826">
        <w:rPr>
          <w:rFonts w:ascii="Arial" w:hAnsi="Arial" w:cs="Arial"/>
          <w:sz w:val="24"/>
          <w:szCs w:val="23"/>
        </w:rPr>
        <w:t xml:space="preserve">uarter </w:t>
      </w:r>
      <w:r w:rsidRPr="00A57C11" w:rsidR="008B6466">
        <w:rPr>
          <w:rFonts w:ascii="Arial" w:hAnsi="Arial" w:cs="Arial"/>
          <w:sz w:val="24"/>
          <w:szCs w:val="23"/>
        </w:rPr>
        <w:t>4</w:t>
      </w:r>
      <w:r w:rsidRPr="00A57C11" w:rsidR="0096022D">
        <w:rPr>
          <w:rFonts w:ascii="Arial" w:hAnsi="Arial" w:cs="Arial"/>
          <w:sz w:val="24"/>
          <w:szCs w:val="23"/>
        </w:rPr>
        <w:t xml:space="preserve"> and end of year</w:t>
      </w:r>
      <w:r w:rsidRPr="00A57C11">
        <w:rPr>
          <w:rFonts w:ascii="Arial" w:hAnsi="Arial" w:cs="Arial"/>
          <w:sz w:val="24"/>
          <w:szCs w:val="23"/>
        </w:rPr>
        <w:t xml:space="preserve"> performance </w:t>
      </w:r>
    </w:p>
    <w:p w:rsidRPr="00A57C11" w:rsidR="00011DFC" w:rsidP="007262A2" w:rsidRDefault="00403A7D" w14:paraId="735242E5" w14:textId="16F4BC8E">
      <w:pPr>
        <w:pStyle w:val="ListParagraph"/>
        <w:numPr>
          <w:ilvl w:val="0"/>
          <w:numId w:val="1"/>
        </w:numPr>
        <w:tabs>
          <w:tab w:val="left" w:pos="270"/>
        </w:tabs>
        <w:spacing w:after="120" w:line="240" w:lineRule="auto"/>
        <w:ind w:left="-90" w:right="-720" w:firstLine="0"/>
        <w:contextualSpacing w:val="0"/>
        <w:rPr>
          <w:rFonts w:ascii="Arial" w:hAnsi="Arial" w:cs="Arial"/>
          <w:sz w:val="24"/>
          <w:szCs w:val="23"/>
        </w:rPr>
      </w:pPr>
      <w:r w:rsidRPr="00A57C11">
        <w:rPr>
          <w:rFonts w:ascii="Arial" w:hAnsi="Arial" w:cs="Arial"/>
          <w:sz w:val="24"/>
          <w:szCs w:val="23"/>
        </w:rPr>
        <w:t>Su</w:t>
      </w:r>
      <w:r w:rsidRPr="00A57C11" w:rsidR="00011DFC">
        <w:rPr>
          <w:rFonts w:ascii="Arial" w:hAnsi="Arial" w:cs="Arial"/>
          <w:sz w:val="24"/>
          <w:szCs w:val="23"/>
        </w:rPr>
        <w:t>mmaries for each of our five priorities</w:t>
      </w:r>
    </w:p>
    <w:p w:rsidRPr="00A57C11" w:rsidR="00011DFC" w:rsidP="007262A2" w:rsidRDefault="00011DFC" w14:paraId="01188DDC" w14:textId="0CBEBCBC">
      <w:pPr>
        <w:pStyle w:val="ListParagraph"/>
        <w:numPr>
          <w:ilvl w:val="0"/>
          <w:numId w:val="1"/>
        </w:numPr>
        <w:tabs>
          <w:tab w:val="left" w:pos="270"/>
        </w:tabs>
        <w:spacing w:after="120" w:line="240" w:lineRule="auto"/>
        <w:ind w:left="270" w:right="-720"/>
        <w:contextualSpacing w:val="0"/>
        <w:rPr>
          <w:rFonts w:ascii="Arial" w:hAnsi="Arial" w:cs="Arial"/>
          <w:sz w:val="24"/>
          <w:szCs w:val="23"/>
        </w:rPr>
      </w:pPr>
      <w:r w:rsidRPr="00A57C11">
        <w:rPr>
          <w:rFonts w:ascii="Arial" w:hAnsi="Arial" w:cs="Arial"/>
          <w:sz w:val="24"/>
          <w:szCs w:val="23"/>
        </w:rPr>
        <w:t xml:space="preserve">Appendices containing detail on performance against our priorities, key performance indicators </w:t>
      </w:r>
      <w:r w:rsidRPr="00A57C11" w:rsidR="00C11672">
        <w:rPr>
          <w:rFonts w:ascii="Arial" w:hAnsi="Arial" w:cs="Arial"/>
          <w:sz w:val="24"/>
          <w:szCs w:val="23"/>
        </w:rPr>
        <w:t xml:space="preserve">(KPIs) </w:t>
      </w:r>
      <w:r w:rsidRPr="00A57C11">
        <w:rPr>
          <w:rFonts w:ascii="Arial" w:hAnsi="Arial" w:cs="Arial"/>
          <w:sz w:val="24"/>
          <w:szCs w:val="23"/>
        </w:rPr>
        <w:t>and corporate risks</w:t>
      </w:r>
    </w:p>
    <w:p w:rsidR="00011DFC" w:rsidP="007262A2" w:rsidRDefault="00011DFC" w14:paraId="497C9915" w14:textId="6F0D3BE6">
      <w:pPr>
        <w:spacing w:after="0" w:line="240" w:lineRule="auto"/>
        <w:ind w:left="-360" w:right="-720"/>
        <w:rPr>
          <w:rFonts w:ascii="Arial" w:hAnsi="Arial" w:cs="Arial"/>
          <w:sz w:val="24"/>
        </w:rPr>
      </w:pPr>
    </w:p>
    <w:p w:rsidR="00B115D8" w:rsidP="007262A2" w:rsidRDefault="00B115D8" w14:paraId="69BFE52E" w14:textId="77777777">
      <w:pPr>
        <w:spacing w:after="0" w:line="240" w:lineRule="auto"/>
        <w:ind w:left="-360" w:right="-720"/>
        <w:rPr>
          <w:rFonts w:ascii="Arial" w:hAnsi="Arial" w:cs="Arial"/>
          <w:sz w:val="24"/>
        </w:rPr>
      </w:pPr>
    </w:p>
    <w:p w:rsidRPr="007262A2" w:rsidR="00011DFC" w:rsidP="007262A2" w:rsidRDefault="00011DFC" w14:paraId="56D8661A" w14:textId="3D629D6D">
      <w:pPr>
        <w:spacing w:after="0" w:line="240" w:lineRule="auto"/>
        <w:ind w:left="-360" w:right="-720"/>
        <w:rPr>
          <w:rFonts w:ascii="Arial" w:hAnsi="Arial" w:cs="Arial"/>
          <w:b/>
          <w:sz w:val="28"/>
        </w:rPr>
      </w:pPr>
      <w:r w:rsidRPr="007262A2">
        <w:rPr>
          <w:rFonts w:ascii="Arial" w:hAnsi="Arial" w:cs="Arial"/>
          <w:b/>
          <w:sz w:val="28"/>
        </w:rPr>
        <w:t>Performance overview</w:t>
      </w:r>
    </w:p>
    <w:p w:rsidR="007262A2" w:rsidP="007262A2" w:rsidRDefault="007262A2" w14:paraId="71FDDA71" w14:textId="393EC2CE">
      <w:pPr>
        <w:spacing w:after="0" w:line="240" w:lineRule="auto"/>
        <w:ind w:left="-360" w:right="-720"/>
        <w:rPr>
          <w:rFonts w:ascii="Arial" w:hAnsi="Arial" w:cs="Arial"/>
          <w:sz w:val="24"/>
        </w:rPr>
      </w:pPr>
    </w:p>
    <w:p w:rsidRPr="00A57C11" w:rsidR="009B1444" w:rsidP="007262A2" w:rsidRDefault="007262A2" w14:paraId="3DDFEE45" w14:textId="7A432C15">
      <w:pPr>
        <w:spacing w:after="0" w:line="240" w:lineRule="auto"/>
        <w:ind w:left="-360" w:right="-810"/>
        <w:rPr>
          <w:rFonts w:ascii="Arial" w:hAnsi="Arial" w:cs="Arial"/>
          <w:sz w:val="24"/>
          <w:szCs w:val="23"/>
        </w:rPr>
      </w:pPr>
      <w:r w:rsidRPr="00A57C11">
        <w:rPr>
          <w:rFonts w:ascii="Arial" w:hAnsi="Arial" w:cs="Arial"/>
          <w:sz w:val="24"/>
          <w:szCs w:val="23"/>
        </w:rPr>
        <w:t xml:space="preserve">This report contains </w:t>
      </w:r>
      <w:r w:rsidRPr="00A57C11" w:rsidR="00AE0997">
        <w:rPr>
          <w:rFonts w:ascii="Arial" w:hAnsi="Arial" w:cs="Arial"/>
          <w:sz w:val="24"/>
          <w:szCs w:val="23"/>
        </w:rPr>
        <w:t>Q</w:t>
      </w:r>
      <w:r w:rsidRPr="00A57C11">
        <w:rPr>
          <w:rFonts w:ascii="Arial" w:hAnsi="Arial" w:cs="Arial"/>
          <w:sz w:val="24"/>
          <w:szCs w:val="23"/>
        </w:rPr>
        <w:t xml:space="preserve">uarter </w:t>
      </w:r>
      <w:r w:rsidRPr="00A57C11" w:rsidR="008B6466">
        <w:rPr>
          <w:rFonts w:ascii="Arial" w:hAnsi="Arial" w:cs="Arial"/>
          <w:sz w:val="24"/>
          <w:szCs w:val="23"/>
        </w:rPr>
        <w:t>4</w:t>
      </w:r>
      <w:r w:rsidRPr="00A57C11">
        <w:rPr>
          <w:rFonts w:ascii="Arial" w:hAnsi="Arial" w:cs="Arial"/>
          <w:sz w:val="24"/>
          <w:szCs w:val="23"/>
        </w:rPr>
        <w:t xml:space="preserve"> progress updates </w:t>
      </w:r>
      <w:r w:rsidRPr="00A57C11" w:rsidR="00C11672">
        <w:rPr>
          <w:rFonts w:ascii="Arial" w:hAnsi="Arial" w:cs="Arial"/>
          <w:sz w:val="24"/>
          <w:szCs w:val="23"/>
        </w:rPr>
        <w:t xml:space="preserve">and end of year performance </w:t>
      </w:r>
      <w:r w:rsidRPr="00A57C11">
        <w:rPr>
          <w:rFonts w:ascii="Arial" w:hAnsi="Arial" w:cs="Arial"/>
          <w:sz w:val="24"/>
          <w:szCs w:val="23"/>
        </w:rPr>
        <w:t xml:space="preserve">on </w:t>
      </w:r>
      <w:r w:rsidRPr="00A57C11" w:rsidR="009B1444">
        <w:rPr>
          <w:rFonts w:ascii="Arial" w:hAnsi="Arial" w:cs="Arial"/>
          <w:sz w:val="24"/>
          <w:szCs w:val="23"/>
        </w:rPr>
        <w:t xml:space="preserve">the </w:t>
      </w:r>
      <w:r w:rsidRPr="00A57C11" w:rsidR="00F75EEF">
        <w:rPr>
          <w:rFonts w:ascii="Arial" w:hAnsi="Arial" w:cs="Arial"/>
          <w:sz w:val="24"/>
          <w:szCs w:val="23"/>
        </w:rPr>
        <w:t>87</w:t>
      </w:r>
      <w:r w:rsidRPr="00A57C11" w:rsidR="009B1444">
        <w:rPr>
          <w:rFonts w:ascii="Arial" w:hAnsi="Arial" w:cs="Arial"/>
          <w:sz w:val="24"/>
          <w:szCs w:val="23"/>
        </w:rPr>
        <w:t xml:space="preserve"> projects/activities and the </w:t>
      </w:r>
      <w:r w:rsidRPr="00A57C11" w:rsidR="008961AA">
        <w:rPr>
          <w:rFonts w:ascii="Arial" w:hAnsi="Arial" w:cs="Arial"/>
          <w:sz w:val="24"/>
          <w:szCs w:val="23"/>
        </w:rPr>
        <w:t>5</w:t>
      </w:r>
      <w:r w:rsidRPr="00A57C11" w:rsidR="00F75EEF">
        <w:rPr>
          <w:rFonts w:ascii="Arial" w:hAnsi="Arial" w:cs="Arial"/>
          <w:sz w:val="24"/>
          <w:szCs w:val="23"/>
        </w:rPr>
        <w:t>0</w:t>
      </w:r>
      <w:r w:rsidRPr="00A57C11" w:rsidR="009B1444">
        <w:rPr>
          <w:rFonts w:ascii="Arial" w:hAnsi="Arial" w:cs="Arial"/>
          <w:sz w:val="24"/>
          <w:szCs w:val="23"/>
        </w:rPr>
        <w:t xml:space="preserve"> key performance indicators set out in the Business Plan 201</w:t>
      </w:r>
      <w:r w:rsidRPr="00A57C11" w:rsidR="00E60C46">
        <w:rPr>
          <w:rFonts w:ascii="Arial" w:hAnsi="Arial" w:cs="Arial"/>
          <w:sz w:val="24"/>
          <w:szCs w:val="23"/>
        </w:rPr>
        <w:t>8</w:t>
      </w:r>
      <w:r w:rsidRPr="00A57C11" w:rsidR="009B1444">
        <w:rPr>
          <w:rFonts w:ascii="Arial" w:hAnsi="Arial" w:cs="Arial"/>
          <w:sz w:val="24"/>
          <w:szCs w:val="23"/>
        </w:rPr>
        <w:t>/1</w:t>
      </w:r>
      <w:r w:rsidRPr="00A57C11" w:rsidR="00E60C46">
        <w:rPr>
          <w:rFonts w:ascii="Arial" w:hAnsi="Arial" w:cs="Arial"/>
          <w:sz w:val="24"/>
          <w:szCs w:val="23"/>
        </w:rPr>
        <w:t>9</w:t>
      </w:r>
      <w:r w:rsidRPr="00A57C11" w:rsidR="009B1444">
        <w:rPr>
          <w:rFonts w:ascii="Arial" w:hAnsi="Arial" w:cs="Arial"/>
          <w:sz w:val="24"/>
          <w:szCs w:val="23"/>
        </w:rPr>
        <w:t xml:space="preserve">. </w:t>
      </w:r>
      <w:r w:rsidRPr="00A57C11" w:rsidR="00A56076">
        <w:rPr>
          <w:rFonts w:ascii="Arial" w:hAnsi="Arial" w:cs="Arial"/>
          <w:sz w:val="24"/>
          <w:szCs w:val="23"/>
        </w:rPr>
        <w:t>The outcome measures</w:t>
      </w:r>
      <w:r w:rsidRPr="00A57C11" w:rsidR="00B80396">
        <w:rPr>
          <w:rStyle w:val="FootnoteReference"/>
          <w:rFonts w:ascii="Arial" w:hAnsi="Arial" w:cs="Arial"/>
          <w:sz w:val="24"/>
          <w:szCs w:val="23"/>
        </w:rPr>
        <w:footnoteReference w:id="1"/>
      </w:r>
      <w:r w:rsidRPr="00A57C11" w:rsidR="00A56076">
        <w:rPr>
          <w:rFonts w:ascii="Arial" w:hAnsi="Arial" w:cs="Arial"/>
          <w:sz w:val="24"/>
          <w:szCs w:val="23"/>
        </w:rPr>
        <w:t xml:space="preserve"> set out in the Bus</w:t>
      </w:r>
      <w:r w:rsidRPr="00A57C11" w:rsidR="00AE0997">
        <w:rPr>
          <w:rFonts w:ascii="Arial" w:hAnsi="Arial" w:cs="Arial"/>
          <w:sz w:val="24"/>
          <w:szCs w:val="23"/>
        </w:rPr>
        <w:t xml:space="preserve">iness Plan </w:t>
      </w:r>
      <w:r w:rsidRPr="00A57C11" w:rsidR="00C11672">
        <w:rPr>
          <w:rFonts w:ascii="Arial" w:hAnsi="Arial" w:cs="Arial"/>
          <w:sz w:val="24"/>
          <w:szCs w:val="23"/>
        </w:rPr>
        <w:t xml:space="preserve">are </w:t>
      </w:r>
      <w:r w:rsidRPr="00A57C11" w:rsidR="00AE0997">
        <w:rPr>
          <w:rFonts w:ascii="Arial" w:hAnsi="Arial" w:cs="Arial"/>
          <w:sz w:val="24"/>
          <w:szCs w:val="23"/>
        </w:rPr>
        <w:t>reported in Q</w:t>
      </w:r>
      <w:r w:rsidRPr="00A57C11" w:rsidR="00A56076">
        <w:rPr>
          <w:rFonts w:ascii="Arial" w:hAnsi="Arial" w:cs="Arial"/>
          <w:sz w:val="24"/>
          <w:szCs w:val="23"/>
        </w:rPr>
        <w:t>uarter</w:t>
      </w:r>
      <w:r w:rsidRPr="00A57C11" w:rsidR="00AE0997">
        <w:rPr>
          <w:rFonts w:ascii="Arial" w:hAnsi="Arial" w:cs="Arial"/>
          <w:sz w:val="24"/>
          <w:szCs w:val="23"/>
        </w:rPr>
        <w:t>s</w:t>
      </w:r>
      <w:r w:rsidRPr="00A57C11" w:rsidR="00A56076">
        <w:rPr>
          <w:rFonts w:ascii="Arial" w:hAnsi="Arial" w:cs="Arial"/>
          <w:sz w:val="24"/>
          <w:szCs w:val="23"/>
        </w:rPr>
        <w:t xml:space="preserve"> 2 and 4 as </w:t>
      </w:r>
      <w:r w:rsidRPr="00A57C11" w:rsidR="00B80396">
        <w:rPr>
          <w:rFonts w:ascii="Arial" w:hAnsi="Arial" w:cs="Arial"/>
          <w:sz w:val="24"/>
          <w:szCs w:val="23"/>
        </w:rPr>
        <w:t xml:space="preserve">data for </w:t>
      </w:r>
      <w:r w:rsidRPr="00A57C11" w:rsidR="00A56076">
        <w:rPr>
          <w:rFonts w:ascii="Arial" w:hAnsi="Arial" w:cs="Arial"/>
          <w:sz w:val="24"/>
          <w:szCs w:val="23"/>
        </w:rPr>
        <w:t xml:space="preserve">many of these measures </w:t>
      </w:r>
      <w:r w:rsidRPr="00A57C11" w:rsidR="00B80396">
        <w:rPr>
          <w:rFonts w:ascii="Arial" w:hAnsi="Arial" w:cs="Arial"/>
          <w:sz w:val="24"/>
          <w:szCs w:val="23"/>
        </w:rPr>
        <w:t xml:space="preserve">is only produced </w:t>
      </w:r>
      <w:r w:rsidRPr="00A57C11" w:rsidR="00A56076">
        <w:rPr>
          <w:rFonts w:ascii="Arial" w:hAnsi="Arial" w:cs="Arial"/>
          <w:sz w:val="24"/>
          <w:szCs w:val="23"/>
        </w:rPr>
        <w:t>once a year</w:t>
      </w:r>
      <w:r w:rsidRPr="00A57C11" w:rsidR="00B80396">
        <w:rPr>
          <w:rFonts w:ascii="Arial" w:hAnsi="Arial" w:cs="Arial"/>
          <w:sz w:val="24"/>
          <w:szCs w:val="23"/>
        </w:rPr>
        <w:t xml:space="preserve">.  The report </w:t>
      </w:r>
      <w:r w:rsidRPr="00A57C11" w:rsidR="009B1444">
        <w:rPr>
          <w:rFonts w:ascii="Arial" w:hAnsi="Arial" w:cs="Arial"/>
          <w:sz w:val="24"/>
          <w:szCs w:val="23"/>
        </w:rPr>
        <w:t>also updates members on key corporate risk and activity to mitigate those.</w:t>
      </w:r>
    </w:p>
    <w:p w:rsidR="00844AB7" w:rsidP="007262A2" w:rsidRDefault="00844AB7" w14:paraId="20592416" w14:textId="77777777">
      <w:pPr>
        <w:spacing w:after="0" w:line="240" w:lineRule="auto"/>
        <w:ind w:left="-360" w:right="-810"/>
        <w:rPr>
          <w:rFonts w:ascii="Arial" w:hAnsi="Arial" w:cs="Arial"/>
          <w:sz w:val="24"/>
        </w:rPr>
      </w:pPr>
    </w:p>
    <w:tbl>
      <w:tblPr>
        <w:tblStyle w:val="TableGrid"/>
        <w:tblW w:w="10136" w:type="dxa"/>
        <w:tblInd w:w="-360" w:type="dxa"/>
        <w:tblLook w:val="04A0" w:firstRow="1" w:lastRow="0" w:firstColumn="1" w:lastColumn="0" w:noHBand="0" w:noVBand="1"/>
      </w:tblPr>
      <w:tblGrid>
        <w:gridCol w:w="3616"/>
        <w:gridCol w:w="984"/>
        <w:gridCol w:w="1050"/>
        <w:gridCol w:w="1127"/>
        <w:gridCol w:w="1141"/>
        <w:gridCol w:w="1134"/>
        <w:gridCol w:w="1084"/>
      </w:tblGrid>
      <w:tr w:rsidR="00E604A0" w:rsidTr="00E604A0" w14:paraId="0AA495B1" w14:textId="23F9CE13">
        <w:tc>
          <w:tcPr>
            <w:tcW w:w="3616" w:type="dxa"/>
          </w:tcPr>
          <w:p w:rsidRPr="00E604A0" w:rsidR="00E604A0" w:rsidP="0090123D" w:rsidRDefault="00E604A0" w14:paraId="2035AA54" w14:textId="668C8EAF">
            <w:pPr>
              <w:ind w:right="-33"/>
              <w:rPr>
                <w:rFonts w:ascii="Arial" w:hAnsi="Arial" w:cs="Arial"/>
                <w:b/>
              </w:rPr>
            </w:pPr>
            <w:r w:rsidRPr="00E604A0">
              <w:rPr>
                <w:rFonts w:ascii="Arial" w:hAnsi="Arial" w:cs="Arial"/>
                <w:b/>
              </w:rPr>
              <w:t xml:space="preserve">Summary of Quarter </w:t>
            </w:r>
            <w:r w:rsidR="006768B8">
              <w:rPr>
                <w:rFonts w:ascii="Arial" w:hAnsi="Arial" w:cs="Arial"/>
                <w:b/>
              </w:rPr>
              <w:t>4</w:t>
            </w:r>
            <w:r w:rsidR="0090123D">
              <w:rPr>
                <w:rFonts w:ascii="Arial" w:hAnsi="Arial" w:cs="Arial"/>
                <w:b/>
              </w:rPr>
              <w:t xml:space="preserve"> </w:t>
            </w:r>
            <w:r w:rsidRPr="00E604A0">
              <w:rPr>
                <w:rFonts w:ascii="Arial" w:hAnsi="Arial" w:cs="Arial"/>
                <w:b/>
              </w:rPr>
              <w:t>position</w:t>
            </w:r>
          </w:p>
        </w:tc>
        <w:tc>
          <w:tcPr>
            <w:tcW w:w="984" w:type="dxa"/>
          </w:tcPr>
          <w:p w:rsidRPr="00E604A0" w:rsidR="00E604A0" w:rsidP="00EB2C1B" w:rsidRDefault="00E604A0" w14:paraId="45D41F9F" w14:textId="04C83DD3">
            <w:pPr>
              <w:ind w:left="-113" w:right="-18"/>
              <w:jc w:val="center"/>
              <w:rPr>
                <w:rFonts w:ascii="Arial" w:hAnsi="Arial" w:cs="Arial"/>
                <w:b/>
              </w:rPr>
            </w:pPr>
            <w:r w:rsidRPr="00E604A0">
              <w:rPr>
                <w:rFonts w:ascii="Arial" w:hAnsi="Arial" w:cs="Arial"/>
                <w:b/>
              </w:rPr>
              <w:t>Total</w:t>
            </w:r>
          </w:p>
        </w:tc>
        <w:tc>
          <w:tcPr>
            <w:tcW w:w="1050" w:type="dxa"/>
            <w:shd w:val="clear" w:color="auto" w:fill="C00000"/>
          </w:tcPr>
          <w:p w:rsidRPr="00E604A0" w:rsidR="00E604A0" w:rsidP="00E604A0" w:rsidRDefault="00E604A0" w14:paraId="75CDFF0F" w14:textId="10F86B06">
            <w:pPr>
              <w:ind w:right="-18"/>
              <w:jc w:val="center"/>
              <w:rPr>
                <w:rFonts w:ascii="Arial" w:hAnsi="Arial" w:cs="Arial"/>
                <w:b/>
              </w:rPr>
            </w:pPr>
            <w:r w:rsidRPr="00E604A0">
              <w:rPr>
                <w:rFonts w:ascii="Arial" w:hAnsi="Arial" w:cs="Arial"/>
                <w:b/>
                <w:color w:val="000000" w:themeColor="text1"/>
              </w:rPr>
              <w:t>Red</w:t>
            </w:r>
          </w:p>
        </w:tc>
        <w:tc>
          <w:tcPr>
            <w:tcW w:w="1127" w:type="dxa"/>
            <w:shd w:val="clear" w:color="auto" w:fill="FFC000"/>
          </w:tcPr>
          <w:p w:rsidRPr="00E604A0" w:rsidR="00E604A0" w:rsidP="00662A3C" w:rsidRDefault="00E604A0" w14:paraId="7ABEDCA7" w14:textId="252E6E78">
            <w:pPr>
              <w:ind w:left="-154" w:right="-108"/>
              <w:jc w:val="center"/>
              <w:rPr>
                <w:rFonts w:ascii="Arial" w:hAnsi="Arial" w:cs="Arial"/>
                <w:b/>
              </w:rPr>
            </w:pPr>
            <w:r w:rsidRPr="00E604A0">
              <w:rPr>
                <w:rFonts w:ascii="Arial" w:hAnsi="Arial" w:cs="Arial"/>
                <w:b/>
              </w:rPr>
              <w:t>Amber</w:t>
            </w:r>
          </w:p>
        </w:tc>
        <w:tc>
          <w:tcPr>
            <w:tcW w:w="1141" w:type="dxa"/>
            <w:shd w:val="clear" w:color="auto" w:fill="00B050"/>
          </w:tcPr>
          <w:p w:rsidRPr="00E604A0" w:rsidR="00E604A0" w:rsidP="00662A3C" w:rsidRDefault="00E604A0" w14:paraId="0723FCC4" w14:textId="0150A84C">
            <w:pPr>
              <w:ind w:left="-145" w:right="-18"/>
              <w:jc w:val="center"/>
              <w:rPr>
                <w:rFonts w:ascii="Arial" w:hAnsi="Arial" w:cs="Arial"/>
                <w:b/>
              </w:rPr>
            </w:pPr>
            <w:r w:rsidRPr="00E604A0">
              <w:rPr>
                <w:rFonts w:ascii="Arial" w:hAnsi="Arial" w:cs="Arial"/>
                <w:b/>
              </w:rPr>
              <w:t>Green</w:t>
            </w:r>
          </w:p>
        </w:tc>
        <w:tc>
          <w:tcPr>
            <w:tcW w:w="1134" w:type="dxa"/>
            <w:shd w:val="clear" w:color="auto" w:fill="0070C0"/>
          </w:tcPr>
          <w:p w:rsidRPr="00E604A0" w:rsidR="00E604A0" w:rsidP="00662A3C" w:rsidRDefault="00E604A0" w14:paraId="6928BF3E" w14:textId="75F89228">
            <w:pPr>
              <w:ind w:left="-151" w:right="-18"/>
              <w:jc w:val="center"/>
              <w:rPr>
                <w:rFonts w:ascii="Arial" w:hAnsi="Arial" w:cs="Arial"/>
                <w:b/>
              </w:rPr>
            </w:pPr>
            <w:r w:rsidRPr="00E604A0">
              <w:rPr>
                <w:rFonts w:ascii="Arial" w:hAnsi="Arial" w:cs="Arial"/>
                <w:b/>
              </w:rPr>
              <w:t>Blue</w:t>
            </w:r>
          </w:p>
        </w:tc>
        <w:tc>
          <w:tcPr>
            <w:tcW w:w="1084" w:type="dxa"/>
            <w:shd w:val="clear" w:color="auto" w:fill="A6A6A6" w:themeFill="background1" w:themeFillShade="A6"/>
          </w:tcPr>
          <w:p w:rsidRPr="00E604A0" w:rsidR="00E604A0" w:rsidP="00E604A0" w:rsidRDefault="00E604A0" w14:paraId="41638179" w14:textId="60704AA4">
            <w:pPr>
              <w:ind w:right="-18"/>
              <w:jc w:val="center"/>
              <w:rPr>
                <w:rFonts w:ascii="Arial" w:hAnsi="Arial" w:cs="Arial"/>
                <w:b/>
              </w:rPr>
            </w:pPr>
            <w:r w:rsidRPr="00555156">
              <w:rPr>
                <w:rFonts w:ascii="Arial" w:hAnsi="Arial" w:cs="Arial"/>
                <w:b/>
              </w:rPr>
              <w:t>Not targeted</w:t>
            </w:r>
          </w:p>
        </w:tc>
      </w:tr>
      <w:tr w:rsidR="00E604A0" w:rsidTr="00E604A0" w14:paraId="5D7FD4DA" w14:textId="6659C4D0">
        <w:tc>
          <w:tcPr>
            <w:tcW w:w="3616" w:type="dxa"/>
          </w:tcPr>
          <w:p w:rsidRPr="00E604A0" w:rsidR="00E604A0" w:rsidP="00E604A0" w:rsidRDefault="00E604A0" w14:paraId="670F5A66" w14:textId="26E39B44">
            <w:pPr>
              <w:ind w:right="-18"/>
              <w:rPr>
                <w:rFonts w:ascii="Arial" w:hAnsi="Arial" w:cs="Arial"/>
              </w:rPr>
            </w:pPr>
            <w:r w:rsidRPr="00E604A0">
              <w:rPr>
                <w:rFonts w:ascii="Arial" w:hAnsi="Arial" w:cs="Arial"/>
              </w:rPr>
              <w:t>Projects/activities</w:t>
            </w:r>
          </w:p>
        </w:tc>
        <w:tc>
          <w:tcPr>
            <w:tcW w:w="984" w:type="dxa"/>
          </w:tcPr>
          <w:p w:rsidRPr="00545ADC" w:rsidR="00E604A0" w:rsidP="00545ADC" w:rsidRDefault="00545ADC" w14:paraId="530BF69C" w14:textId="3CAF22B9">
            <w:pPr>
              <w:ind w:left="-113"/>
              <w:jc w:val="center"/>
              <w:rPr>
                <w:rFonts w:ascii="Arial" w:hAnsi="Arial" w:cs="Arial"/>
              </w:rPr>
            </w:pPr>
            <w:r w:rsidRPr="00545ADC">
              <w:rPr>
                <w:rFonts w:ascii="Arial" w:hAnsi="Arial" w:cs="Arial"/>
              </w:rPr>
              <w:t>87</w:t>
            </w:r>
          </w:p>
        </w:tc>
        <w:tc>
          <w:tcPr>
            <w:tcW w:w="1050" w:type="dxa"/>
            <w:shd w:val="clear" w:color="auto" w:fill="C00000"/>
          </w:tcPr>
          <w:p w:rsidRPr="002F17DA" w:rsidR="00E604A0" w:rsidP="00E604A0" w:rsidRDefault="00303CD6" w14:paraId="0D00ACAC" w14:textId="4066EEE7">
            <w:pPr>
              <w:ind w:right="-18"/>
              <w:jc w:val="center"/>
              <w:rPr>
                <w:rFonts w:ascii="Arial" w:hAnsi="Arial" w:cs="Arial"/>
              </w:rPr>
            </w:pPr>
            <w:r>
              <w:rPr>
                <w:rFonts w:ascii="Arial" w:hAnsi="Arial" w:cs="Arial"/>
              </w:rPr>
              <w:t>3</w:t>
            </w:r>
          </w:p>
        </w:tc>
        <w:tc>
          <w:tcPr>
            <w:tcW w:w="1127" w:type="dxa"/>
            <w:shd w:val="clear" w:color="auto" w:fill="FFC000"/>
          </w:tcPr>
          <w:p w:rsidRPr="002F17DA" w:rsidR="00E604A0" w:rsidP="00662A3C" w:rsidRDefault="00303CD6" w14:paraId="6DECE878" w14:textId="780494B6">
            <w:pPr>
              <w:ind w:left="-154" w:right="-65"/>
              <w:jc w:val="center"/>
              <w:rPr>
                <w:rFonts w:ascii="Arial" w:hAnsi="Arial" w:cs="Arial"/>
              </w:rPr>
            </w:pPr>
            <w:r>
              <w:rPr>
                <w:rFonts w:ascii="Arial" w:hAnsi="Arial" w:cs="Arial"/>
              </w:rPr>
              <w:t>11</w:t>
            </w:r>
          </w:p>
        </w:tc>
        <w:tc>
          <w:tcPr>
            <w:tcW w:w="1141" w:type="dxa"/>
            <w:shd w:val="clear" w:color="auto" w:fill="00B050"/>
          </w:tcPr>
          <w:p w:rsidRPr="002F17DA" w:rsidR="00E604A0" w:rsidP="00662A3C" w:rsidRDefault="00B115D8" w14:paraId="349F4752" w14:textId="41FA3CAD">
            <w:pPr>
              <w:ind w:left="-145" w:right="-18"/>
              <w:jc w:val="center"/>
              <w:rPr>
                <w:rFonts w:ascii="Arial" w:hAnsi="Arial" w:cs="Arial"/>
              </w:rPr>
            </w:pPr>
            <w:r>
              <w:rPr>
                <w:rFonts w:ascii="Arial" w:hAnsi="Arial" w:cs="Arial"/>
              </w:rPr>
              <w:t>4</w:t>
            </w:r>
            <w:r w:rsidR="00657E40">
              <w:rPr>
                <w:rFonts w:ascii="Arial" w:hAnsi="Arial" w:cs="Arial"/>
              </w:rPr>
              <w:t>5</w:t>
            </w:r>
          </w:p>
        </w:tc>
        <w:tc>
          <w:tcPr>
            <w:tcW w:w="1134" w:type="dxa"/>
            <w:shd w:val="clear" w:color="auto" w:fill="0070C0"/>
          </w:tcPr>
          <w:p w:rsidRPr="002F17DA" w:rsidR="00E604A0" w:rsidP="00FF4138" w:rsidRDefault="00303CD6" w14:paraId="643C5869" w14:textId="04357AA3">
            <w:pPr>
              <w:ind w:left="-151" w:right="-18"/>
              <w:jc w:val="center"/>
              <w:rPr>
                <w:rFonts w:ascii="Arial" w:hAnsi="Arial" w:cs="Arial"/>
              </w:rPr>
            </w:pPr>
            <w:r>
              <w:rPr>
                <w:rFonts w:ascii="Arial" w:hAnsi="Arial" w:cs="Arial"/>
              </w:rPr>
              <w:t>2</w:t>
            </w:r>
            <w:r w:rsidR="00657E40">
              <w:rPr>
                <w:rFonts w:ascii="Arial" w:hAnsi="Arial" w:cs="Arial"/>
              </w:rPr>
              <w:t>8</w:t>
            </w:r>
          </w:p>
        </w:tc>
        <w:tc>
          <w:tcPr>
            <w:tcW w:w="1084" w:type="dxa"/>
            <w:shd w:val="clear" w:color="auto" w:fill="A6A6A6" w:themeFill="background1" w:themeFillShade="A6"/>
          </w:tcPr>
          <w:p w:rsidRPr="00A71044" w:rsidR="00E604A0" w:rsidP="00E604A0" w:rsidRDefault="00E604A0" w14:paraId="1CE043AC" w14:textId="4EEC6525">
            <w:pPr>
              <w:ind w:right="-18"/>
              <w:jc w:val="center"/>
              <w:rPr>
                <w:rFonts w:ascii="Arial" w:hAnsi="Arial" w:cs="Arial"/>
              </w:rPr>
            </w:pPr>
            <w:r w:rsidRPr="00A71044">
              <w:rPr>
                <w:rFonts w:ascii="Arial" w:hAnsi="Arial" w:cs="Arial"/>
              </w:rPr>
              <w:t>-</w:t>
            </w:r>
          </w:p>
        </w:tc>
      </w:tr>
      <w:tr w:rsidR="0072380A" w:rsidTr="00E604A0" w14:paraId="20F6F0D6" w14:textId="633807A9">
        <w:tc>
          <w:tcPr>
            <w:tcW w:w="3616" w:type="dxa"/>
          </w:tcPr>
          <w:p w:rsidRPr="00E604A0" w:rsidR="0072380A" w:rsidP="0072380A" w:rsidRDefault="0072380A" w14:paraId="0C1594A7" w14:textId="405FBEEB">
            <w:pPr>
              <w:ind w:right="-18"/>
              <w:rPr>
                <w:rFonts w:ascii="Arial" w:hAnsi="Arial" w:cs="Arial"/>
              </w:rPr>
            </w:pPr>
            <w:r w:rsidRPr="00555156">
              <w:rPr>
                <w:rFonts w:ascii="Arial" w:hAnsi="Arial" w:cs="Arial"/>
              </w:rPr>
              <w:t>KPIs</w:t>
            </w:r>
            <w:r>
              <w:rPr>
                <w:rFonts w:ascii="Arial" w:hAnsi="Arial" w:cs="Arial"/>
              </w:rPr>
              <w:t xml:space="preserve"> (Q4 value)</w:t>
            </w:r>
          </w:p>
        </w:tc>
        <w:tc>
          <w:tcPr>
            <w:tcW w:w="984" w:type="dxa"/>
          </w:tcPr>
          <w:p w:rsidRPr="00545ADC" w:rsidR="0072380A" w:rsidP="00EB2C1B" w:rsidRDefault="00545ADC" w14:paraId="32F47BE6" w14:textId="1743950D">
            <w:pPr>
              <w:ind w:left="-113"/>
              <w:jc w:val="center"/>
              <w:rPr>
                <w:rFonts w:ascii="Arial" w:hAnsi="Arial" w:cs="Arial"/>
              </w:rPr>
            </w:pPr>
            <w:r w:rsidRPr="00545ADC">
              <w:rPr>
                <w:rFonts w:ascii="Arial" w:hAnsi="Arial" w:cs="Arial"/>
              </w:rPr>
              <w:t>5</w:t>
            </w:r>
            <w:r w:rsidR="00F75EEF">
              <w:rPr>
                <w:rFonts w:ascii="Arial" w:hAnsi="Arial" w:cs="Arial"/>
              </w:rPr>
              <w:t>0</w:t>
            </w:r>
            <w:r w:rsidR="007000EC">
              <w:rPr>
                <w:rFonts w:ascii="Arial" w:hAnsi="Arial" w:cs="Arial"/>
              </w:rPr>
              <w:t>*</w:t>
            </w:r>
          </w:p>
        </w:tc>
        <w:tc>
          <w:tcPr>
            <w:tcW w:w="1050" w:type="dxa"/>
            <w:shd w:val="clear" w:color="auto" w:fill="C00000"/>
          </w:tcPr>
          <w:p w:rsidRPr="0072380A" w:rsidR="0072380A" w:rsidP="0072380A" w:rsidRDefault="00EA7F88" w14:paraId="6841E6FE" w14:textId="59AEA455">
            <w:pPr>
              <w:ind w:right="-18"/>
              <w:jc w:val="center"/>
              <w:rPr>
                <w:rFonts w:ascii="Arial" w:hAnsi="Arial" w:cs="Arial"/>
              </w:rPr>
            </w:pPr>
            <w:r>
              <w:rPr>
                <w:rFonts w:ascii="Arial" w:hAnsi="Arial" w:cs="Arial"/>
              </w:rPr>
              <w:t>8</w:t>
            </w:r>
          </w:p>
        </w:tc>
        <w:tc>
          <w:tcPr>
            <w:tcW w:w="1127" w:type="dxa"/>
            <w:shd w:val="clear" w:color="auto" w:fill="FFC000"/>
          </w:tcPr>
          <w:p w:rsidRPr="0072380A" w:rsidR="0072380A" w:rsidP="00662A3C" w:rsidRDefault="007000EC" w14:paraId="43478034" w14:textId="225DA116">
            <w:pPr>
              <w:ind w:left="-154" w:right="-65"/>
              <w:jc w:val="center"/>
              <w:rPr>
                <w:rFonts w:ascii="Arial" w:hAnsi="Arial" w:cs="Arial"/>
              </w:rPr>
            </w:pPr>
            <w:r>
              <w:rPr>
                <w:rFonts w:ascii="Arial" w:hAnsi="Arial" w:cs="Arial"/>
              </w:rPr>
              <w:t>9</w:t>
            </w:r>
          </w:p>
        </w:tc>
        <w:tc>
          <w:tcPr>
            <w:tcW w:w="1141" w:type="dxa"/>
            <w:shd w:val="clear" w:color="auto" w:fill="00B050"/>
          </w:tcPr>
          <w:p w:rsidRPr="0072380A" w:rsidR="0072380A" w:rsidP="00662A3C" w:rsidRDefault="00EA7F88" w14:paraId="290E343E" w14:textId="1F6AAEA2">
            <w:pPr>
              <w:ind w:left="-145" w:right="-18"/>
              <w:jc w:val="center"/>
              <w:rPr>
                <w:rFonts w:ascii="Arial" w:hAnsi="Arial" w:cs="Arial"/>
              </w:rPr>
            </w:pPr>
            <w:r>
              <w:rPr>
                <w:rFonts w:ascii="Arial" w:hAnsi="Arial" w:cs="Arial"/>
              </w:rPr>
              <w:t>27</w:t>
            </w:r>
          </w:p>
        </w:tc>
        <w:tc>
          <w:tcPr>
            <w:tcW w:w="1134" w:type="dxa"/>
            <w:shd w:val="clear" w:color="auto" w:fill="0070C0"/>
          </w:tcPr>
          <w:p w:rsidRPr="0072380A" w:rsidR="0072380A" w:rsidP="00EA7F88" w:rsidRDefault="0072380A" w14:paraId="1CFD17D9" w14:textId="2C0E6605">
            <w:pPr>
              <w:ind w:left="-151" w:right="-18"/>
              <w:jc w:val="center"/>
              <w:rPr>
                <w:rFonts w:ascii="Arial" w:hAnsi="Arial" w:cs="Arial"/>
              </w:rPr>
            </w:pPr>
            <w:r w:rsidRPr="0072380A">
              <w:rPr>
                <w:rFonts w:ascii="Arial" w:hAnsi="Arial" w:cs="Arial"/>
              </w:rPr>
              <w:t>-</w:t>
            </w:r>
          </w:p>
        </w:tc>
        <w:tc>
          <w:tcPr>
            <w:tcW w:w="1084" w:type="dxa"/>
            <w:shd w:val="clear" w:color="auto" w:fill="A6A6A6" w:themeFill="background1" w:themeFillShade="A6"/>
          </w:tcPr>
          <w:p w:rsidRPr="00A71044" w:rsidR="0072380A" w:rsidP="0072380A" w:rsidRDefault="00EA7F88" w14:paraId="778ACD5C" w14:textId="10464B3C">
            <w:pPr>
              <w:ind w:right="-18"/>
              <w:jc w:val="center"/>
              <w:rPr>
                <w:rFonts w:ascii="Arial" w:hAnsi="Arial" w:cs="Arial"/>
              </w:rPr>
            </w:pPr>
            <w:r>
              <w:rPr>
                <w:rFonts w:ascii="Arial" w:hAnsi="Arial" w:cs="Arial"/>
              </w:rPr>
              <w:t>4</w:t>
            </w:r>
          </w:p>
        </w:tc>
      </w:tr>
      <w:tr w:rsidR="0072380A" w:rsidTr="00E604A0" w14:paraId="5BB706B7" w14:textId="77777777">
        <w:tc>
          <w:tcPr>
            <w:tcW w:w="3616" w:type="dxa"/>
          </w:tcPr>
          <w:p w:rsidRPr="00E604A0" w:rsidR="0072380A" w:rsidP="00E60C46" w:rsidRDefault="0072380A" w14:paraId="3211961D" w14:textId="55F19432">
            <w:pPr>
              <w:ind w:right="-18"/>
              <w:rPr>
                <w:rFonts w:ascii="Arial" w:hAnsi="Arial" w:cs="Arial"/>
              </w:rPr>
            </w:pPr>
            <w:r>
              <w:rPr>
                <w:rFonts w:ascii="Arial" w:hAnsi="Arial" w:cs="Arial"/>
              </w:rPr>
              <w:t>KPIs (2</w:t>
            </w:r>
            <w:r w:rsidR="00E60C46">
              <w:rPr>
                <w:rFonts w:ascii="Arial" w:hAnsi="Arial" w:cs="Arial"/>
              </w:rPr>
              <w:t>018</w:t>
            </w:r>
            <w:r>
              <w:rPr>
                <w:rFonts w:ascii="Arial" w:hAnsi="Arial" w:cs="Arial"/>
              </w:rPr>
              <w:t>/1</w:t>
            </w:r>
            <w:r w:rsidR="00E60C46">
              <w:rPr>
                <w:rFonts w:ascii="Arial" w:hAnsi="Arial" w:cs="Arial"/>
              </w:rPr>
              <w:t>9</w:t>
            </w:r>
            <w:r>
              <w:rPr>
                <w:rFonts w:ascii="Arial" w:hAnsi="Arial" w:cs="Arial"/>
              </w:rPr>
              <w:t xml:space="preserve"> annual value)</w:t>
            </w:r>
          </w:p>
        </w:tc>
        <w:tc>
          <w:tcPr>
            <w:tcW w:w="984" w:type="dxa"/>
          </w:tcPr>
          <w:p w:rsidRPr="00545ADC" w:rsidR="0072380A" w:rsidP="00EB2C1B" w:rsidRDefault="00545ADC" w14:paraId="67B8B2D8" w14:textId="16CC715A">
            <w:pPr>
              <w:ind w:left="-113"/>
              <w:jc w:val="center"/>
              <w:rPr>
                <w:rFonts w:ascii="Arial" w:hAnsi="Arial" w:cs="Arial"/>
              </w:rPr>
            </w:pPr>
            <w:r w:rsidRPr="00545ADC">
              <w:rPr>
                <w:rFonts w:ascii="Arial" w:hAnsi="Arial" w:cs="Arial"/>
              </w:rPr>
              <w:t>5</w:t>
            </w:r>
            <w:r w:rsidR="00F75EEF">
              <w:rPr>
                <w:rFonts w:ascii="Arial" w:hAnsi="Arial" w:cs="Arial"/>
              </w:rPr>
              <w:t>0</w:t>
            </w:r>
            <w:r w:rsidR="007000EC">
              <w:rPr>
                <w:rFonts w:ascii="Arial" w:hAnsi="Arial" w:cs="Arial"/>
              </w:rPr>
              <w:t>*</w:t>
            </w:r>
          </w:p>
        </w:tc>
        <w:tc>
          <w:tcPr>
            <w:tcW w:w="1050" w:type="dxa"/>
            <w:shd w:val="clear" w:color="auto" w:fill="C00000"/>
          </w:tcPr>
          <w:p w:rsidRPr="0072380A" w:rsidR="0072380A" w:rsidP="0072380A" w:rsidRDefault="007000EC" w14:paraId="33B20048" w14:textId="0956DCC7">
            <w:pPr>
              <w:ind w:right="-18"/>
              <w:jc w:val="center"/>
              <w:rPr>
                <w:rFonts w:ascii="Arial" w:hAnsi="Arial" w:cs="Arial"/>
              </w:rPr>
            </w:pPr>
            <w:r>
              <w:rPr>
                <w:rFonts w:ascii="Arial" w:hAnsi="Arial" w:cs="Arial"/>
              </w:rPr>
              <w:t>6</w:t>
            </w:r>
          </w:p>
        </w:tc>
        <w:tc>
          <w:tcPr>
            <w:tcW w:w="1127" w:type="dxa"/>
            <w:shd w:val="clear" w:color="auto" w:fill="FFC000"/>
          </w:tcPr>
          <w:p w:rsidRPr="0072380A" w:rsidR="0072380A" w:rsidP="00662A3C" w:rsidRDefault="00C439CA" w14:paraId="4EC18EA4" w14:textId="59A7F27A">
            <w:pPr>
              <w:ind w:left="-154" w:right="-65"/>
              <w:jc w:val="center"/>
              <w:rPr>
                <w:rFonts w:ascii="Arial" w:hAnsi="Arial" w:cs="Arial"/>
              </w:rPr>
            </w:pPr>
            <w:r>
              <w:rPr>
                <w:rFonts w:ascii="Arial" w:hAnsi="Arial" w:cs="Arial"/>
              </w:rPr>
              <w:t>13</w:t>
            </w:r>
          </w:p>
        </w:tc>
        <w:tc>
          <w:tcPr>
            <w:tcW w:w="1141" w:type="dxa"/>
            <w:shd w:val="clear" w:color="auto" w:fill="00B050"/>
          </w:tcPr>
          <w:p w:rsidRPr="0072380A" w:rsidR="0072380A" w:rsidP="00662A3C" w:rsidRDefault="00EA7F88" w14:paraId="728A042A" w14:textId="667B1951">
            <w:pPr>
              <w:ind w:left="-145" w:right="-18"/>
              <w:jc w:val="center"/>
              <w:rPr>
                <w:rFonts w:ascii="Arial" w:hAnsi="Arial" w:cs="Arial"/>
              </w:rPr>
            </w:pPr>
            <w:r>
              <w:rPr>
                <w:rFonts w:ascii="Arial" w:hAnsi="Arial" w:cs="Arial"/>
              </w:rPr>
              <w:t>27</w:t>
            </w:r>
          </w:p>
        </w:tc>
        <w:tc>
          <w:tcPr>
            <w:tcW w:w="1134" w:type="dxa"/>
            <w:shd w:val="clear" w:color="auto" w:fill="0070C0"/>
          </w:tcPr>
          <w:p w:rsidRPr="0072380A" w:rsidR="0072380A" w:rsidP="00662A3C" w:rsidRDefault="0072380A" w14:paraId="33CEB040" w14:textId="0F557B1A">
            <w:pPr>
              <w:ind w:left="-151" w:right="-18"/>
              <w:jc w:val="center"/>
              <w:rPr>
                <w:rFonts w:ascii="Arial" w:hAnsi="Arial" w:cs="Arial"/>
              </w:rPr>
            </w:pPr>
            <w:r>
              <w:rPr>
                <w:rFonts w:ascii="Arial" w:hAnsi="Arial" w:cs="Arial"/>
              </w:rPr>
              <w:t>-</w:t>
            </w:r>
          </w:p>
        </w:tc>
        <w:tc>
          <w:tcPr>
            <w:tcW w:w="1084" w:type="dxa"/>
            <w:shd w:val="clear" w:color="auto" w:fill="A6A6A6" w:themeFill="background1" w:themeFillShade="A6"/>
          </w:tcPr>
          <w:p w:rsidRPr="00A71044" w:rsidR="0072380A" w:rsidP="0072380A" w:rsidRDefault="00EA7F88" w14:paraId="1B4C5DCB" w14:textId="2E9BCB46">
            <w:pPr>
              <w:ind w:right="-18"/>
              <w:jc w:val="center"/>
              <w:rPr>
                <w:rFonts w:ascii="Arial" w:hAnsi="Arial" w:cs="Arial"/>
              </w:rPr>
            </w:pPr>
            <w:r>
              <w:rPr>
                <w:rFonts w:ascii="Arial" w:hAnsi="Arial" w:cs="Arial"/>
              </w:rPr>
              <w:t>2</w:t>
            </w:r>
          </w:p>
        </w:tc>
      </w:tr>
    </w:tbl>
    <w:p w:rsidRPr="007000EC" w:rsidR="0094176F" w:rsidP="007000EC" w:rsidRDefault="006D48CD" w14:paraId="2512BC0A" w14:textId="0C64E1C5">
      <w:pPr>
        <w:spacing w:after="0" w:line="240" w:lineRule="auto"/>
        <w:ind w:left="-360" w:right="-810"/>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 </w:t>
      </w:r>
      <w:r w:rsidR="007000EC">
        <w:rPr>
          <w:rStyle w:val="normaltextrun"/>
          <w:rFonts w:ascii="Arial" w:hAnsi="Arial" w:cs="Arial"/>
          <w:color w:val="000000"/>
          <w:sz w:val="20"/>
          <w:szCs w:val="20"/>
          <w:shd w:val="clear" w:color="auto" w:fill="FFFFFF"/>
        </w:rPr>
        <w:t>W</w:t>
      </w:r>
      <w:r w:rsidRPr="007000EC" w:rsidR="007000EC">
        <w:rPr>
          <w:rStyle w:val="normaltextrun"/>
          <w:rFonts w:ascii="Arial" w:hAnsi="Arial" w:cs="Arial"/>
          <w:color w:val="000000"/>
          <w:sz w:val="20"/>
          <w:szCs w:val="20"/>
          <w:shd w:val="clear" w:color="auto" w:fill="FFFFFF"/>
        </w:rPr>
        <w:t>e are awaiting data to be able to calculate Q4 figures for 2 KPIs </w:t>
      </w:r>
    </w:p>
    <w:p w:rsidR="006D48CD" w:rsidP="007262A2" w:rsidRDefault="006D48CD" w14:paraId="7C0E1EFA" w14:textId="77777777">
      <w:pPr>
        <w:spacing w:after="0" w:line="240" w:lineRule="auto"/>
        <w:ind w:left="-360" w:right="-810"/>
        <w:rPr>
          <w:rFonts w:ascii="Arial" w:hAnsi="Arial" w:cs="Arial"/>
          <w:sz w:val="24"/>
        </w:rPr>
      </w:pPr>
    </w:p>
    <w:p w:rsidRPr="00C11672" w:rsidR="00C11672" w:rsidP="00C11672" w:rsidRDefault="00C11672" w14:paraId="36C26C00" w14:textId="184BF417">
      <w:pPr>
        <w:spacing w:after="120" w:line="240" w:lineRule="auto"/>
        <w:ind w:left="-360" w:right="-806"/>
        <w:rPr>
          <w:rFonts w:ascii="Arial" w:hAnsi="Arial" w:cs="Arial"/>
          <w:sz w:val="24"/>
        </w:rPr>
      </w:pPr>
      <w:r w:rsidRPr="00C11672">
        <w:rPr>
          <w:rFonts w:ascii="Arial" w:hAnsi="Arial" w:cs="Arial"/>
          <w:sz w:val="24"/>
        </w:rPr>
        <w:t xml:space="preserve">The attached appendices contain more details about performance on our </w:t>
      </w:r>
      <w:r>
        <w:rPr>
          <w:rFonts w:ascii="Arial" w:hAnsi="Arial" w:cs="Arial"/>
          <w:sz w:val="24"/>
        </w:rPr>
        <w:t>activit</w:t>
      </w:r>
      <w:r w:rsidR="006D48CD">
        <w:rPr>
          <w:rFonts w:ascii="Arial" w:hAnsi="Arial" w:cs="Arial"/>
          <w:sz w:val="24"/>
        </w:rPr>
        <w:t>i</w:t>
      </w:r>
      <w:r>
        <w:rPr>
          <w:rFonts w:ascii="Arial" w:hAnsi="Arial" w:cs="Arial"/>
          <w:sz w:val="24"/>
        </w:rPr>
        <w:t>es/projects</w:t>
      </w:r>
      <w:r w:rsidRPr="00C11672">
        <w:rPr>
          <w:rFonts w:ascii="Arial" w:hAnsi="Arial" w:cs="Arial"/>
          <w:sz w:val="24"/>
        </w:rPr>
        <w:t xml:space="preserve">, </w:t>
      </w:r>
      <w:r>
        <w:rPr>
          <w:rFonts w:ascii="Arial" w:hAnsi="Arial" w:cs="Arial"/>
          <w:sz w:val="24"/>
        </w:rPr>
        <w:t>key performance indicators</w:t>
      </w:r>
      <w:r w:rsidRPr="00C11672">
        <w:rPr>
          <w:rFonts w:ascii="Arial" w:hAnsi="Arial" w:cs="Arial"/>
          <w:sz w:val="24"/>
        </w:rPr>
        <w:t xml:space="preserve"> during the year and end of year figures for </w:t>
      </w:r>
      <w:r>
        <w:rPr>
          <w:rFonts w:ascii="Arial" w:hAnsi="Arial" w:cs="Arial"/>
          <w:sz w:val="24"/>
        </w:rPr>
        <w:t>those KPIs</w:t>
      </w:r>
      <w:r w:rsidRPr="00C11672">
        <w:rPr>
          <w:rFonts w:ascii="Arial" w:hAnsi="Arial" w:cs="Arial"/>
          <w:sz w:val="24"/>
        </w:rPr>
        <w:t>.</w:t>
      </w:r>
    </w:p>
    <w:p w:rsidRPr="00C11672" w:rsidR="00C11672" w:rsidP="00C11672" w:rsidRDefault="00C11672" w14:paraId="399CF408" w14:textId="603C86FE">
      <w:pPr>
        <w:spacing w:after="120" w:line="240" w:lineRule="auto"/>
        <w:ind w:left="-360" w:right="-806"/>
        <w:rPr>
          <w:rFonts w:ascii="Arial" w:hAnsi="Arial" w:cs="Arial"/>
          <w:sz w:val="24"/>
        </w:rPr>
      </w:pPr>
      <w:r w:rsidRPr="00C11672">
        <w:rPr>
          <w:rFonts w:ascii="Arial" w:hAnsi="Arial" w:cs="Arial"/>
          <w:sz w:val="24"/>
        </w:rPr>
        <w:t xml:space="preserve">For this end of year report, the red/amber/green ratings assigned </w:t>
      </w:r>
      <w:r w:rsidR="0071400A">
        <w:rPr>
          <w:rFonts w:ascii="Arial" w:hAnsi="Arial" w:cs="Arial"/>
          <w:sz w:val="24"/>
        </w:rPr>
        <w:t xml:space="preserve">to KPIs in the narrative </w:t>
      </w:r>
      <w:r w:rsidR="006D48CD">
        <w:rPr>
          <w:rFonts w:ascii="Arial" w:hAnsi="Arial" w:cs="Arial"/>
          <w:sz w:val="24"/>
        </w:rPr>
        <w:t xml:space="preserve">reflect </w:t>
      </w:r>
      <w:r>
        <w:rPr>
          <w:rFonts w:ascii="Arial" w:hAnsi="Arial" w:cs="Arial"/>
          <w:sz w:val="24"/>
        </w:rPr>
        <w:t>our overall performance for 2018</w:t>
      </w:r>
      <w:r w:rsidRPr="00C11672">
        <w:rPr>
          <w:rFonts w:ascii="Arial" w:hAnsi="Arial" w:cs="Arial"/>
          <w:sz w:val="24"/>
        </w:rPr>
        <w:t>/1</w:t>
      </w:r>
      <w:r>
        <w:rPr>
          <w:rFonts w:ascii="Arial" w:hAnsi="Arial" w:cs="Arial"/>
          <w:sz w:val="24"/>
        </w:rPr>
        <w:t>9</w:t>
      </w:r>
      <w:r w:rsidRPr="00C11672">
        <w:rPr>
          <w:rFonts w:ascii="Arial" w:hAnsi="Arial" w:cs="Arial"/>
          <w:sz w:val="24"/>
        </w:rPr>
        <w:t xml:space="preserve"> rather than the ratings for the fourth quarter.</w:t>
      </w:r>
    </w:p>
    <w:p w:rsidR="0071400A" w:rsidP="00A56076" w:rsidRDefault="0071400A" w14:paraId="20144D1E" w14:textId="4F8F82F6">
      <w:pPr>
        <w:spacing w:after="120" w:line="240" w:lineRule="auto"/>
        <w:ind w:left="-360" w:right="-806"/>
        <w:rPr>
          <w:rFonts w:ascii="Arial" w:hAnsi="Arial" w:cs="Arial"/>
          <w:b/>
          <w:sz w:val="26"/>
          <w:szCs w:val="26"/>
        </w:rPr>
      </w:pPr>
    </w:p>
    <w:p w:rsidR="00B115D8" w:rsidP="00A56076" w:rsidRDefault="00B115D8" w14:paraId="4FA0086F" w14:textId="3B74B418">
      <w:pPr>
        <w:spacing w:after="120" w:line="240" w:lineRule="auto"/>
        <w:ind w:left="-360" w:right="-806"/>
        <w:rPr>
          <w:rFonts w:ascii="Arial" w:hAnsi="Arial" w:cs="Arial"/>
          <w:b/>
          <w:sz w:val="26"/>
          <w:szCs w:val="26"/>
        </w:rPr>
      </w:pPr>
    </w:p>
    <w:p w:rsidR="00903530" w:rsidRDefault="00903530" w14:paraId="072DD4B0" w14:textId="35623E5F">
      <w:pPr>
        <w:rPr>
          <w:rFonts w:ascii="Arial" w:hAnsi="Arial" w:cs="Arial"/>
          <w:b/>
          <w:sz w:val="26"/>
          <w:szCs w:val="26"/>
        </w:rPr>
      </w:pPr>
      <w:r>
        <w:rPr>
          <w:rFonts w:ascii="Arial" w:hAnsi="Arial" w:cs="Arial"/>
          <w:b/>
          <w:sz w:val="26"/>
          <w:szCs w:val="26"/>
        </w:rPr>
        <w:br w:type="page"/>
      </w:r>
    </w:p>
    <w:p w:rsidRPr="00DE0E50" w:rsidR="007262A2" w:rsidP="00E66AF6" w:rsidRDefault="00A56076" w14:paraId="67AFB1C6" w14:textId="47ABACE3">
      <w:pPr>
        <w:spacing w:after="120" w:line="240" w:lineRule="auto"/>
        <w:ind w:left="-426" w:right="-806"/>
        <w:rPr>
          <w:rFonts w:ascii="Arial" w:hAnsi="Arial" w:cs="Arial"/>
          <w:b/>
          <w:sz w:val="28"/>
          <w:szCs w:val="26"/>
        </w:rPr>
      </w:pPr>
      <w:r w:rsidRPr="00DE0E50">
        <w:rPr>
          <w:rFonts w:ascii="Arial" w:hAnsi="Arial" w:cs="Arial"/>
          <w:b/>
          <w:sz w:val="28"/>
          <w:szCs w:val="26"/>
        </w:rPr>
        <w:lastRenderedPageBreak/>
        <w:t>Projects/activities</w:t>
      </w:r>
      <w:r w:rsidRPr="00DE0E50" w:rsidR="00B73572">
        <w:rPr>
          <w:rFonts w:ascii="Arial" w:hAnsi="Arial" w:cs="Arial"/>
          <w:b/>
          <w:sz w:val="28"/>
          <w:szCs w:val="26"/>
        </w:rPr>
        <w:t xml:space="preserve"> </w:t>
      </w:r>
      <w:r w:rsidRPr="00DE0E50" w:rsidR="00B73572">
        <w:rPr>
          <w:rFonts w:ascii="Arial" w:hAnsi="Arial" w:cs="Arial"/>
          <w:sz w:val="28"/>
          <w:szCs w:val="26"/>
        </w:rPr>
        <w:t>(Appendix A)</w:t>
      </w:r>
    </w:p>
    <w:p w:rsidRPr="00A57C11" w:rsidR="00894B6A" w:rsidP="00E66AF6" w:rsidRDefault="00894B6A" w14:paraId="444876E1" w14:textId="4ACDF02F">
      <w:pPr>
        <w:spacing w:after="0" w:line="240" w:lineRule="auto"/>
        <w:ind w:left="-426" w:right="-810"/>
        <w:rPr>
          <w:rFonts w:ascii="Arial" w:hAnsi="Arial" w:cs="Arial"/>
          <w:sz w:val="24"/>
        </w:rPr>
      </w:pPr>
      <w:r>
        <w:rPr>
          <w:rFonts w:ascii="Arial" w:hAnsi="Arial" w:cs="Arial"/>
          <w:sz w:val="24"/>
        </w:rPr>
        <w:t xml:space="preserve">We </w:t>
      </w:r>
      <w:r w:rsidRPr="00A71044">
        <w:rPr>
          <w:rFonts w:ascii="Arial" w:hAnsi="Arial" w:cs="Arial"/>
          <w:sz w:val="24"/>
        </w:rPr>
        <w:t xml:space="preserve">have now completed </w:t>
      </w:r>
      <w:r w:rsidRPr="00B115D8" w:rsidR="00303CD6">
        <w:rPr>
          <w:rFonts w:ascii="Arial" w:hAnsi="Arial" w:cs="Arial"/>
          <w:sz w:val="24"/>
        </w:rPr>
        <w:t>2</w:t>
      </w:r>
      <w:r w:rsidR="00657E40">
        <w:rPr>
          <w:rFonts w:ascii="Arial" w:hAnsi="Arial" w:cs="Arial"/>
          <w:sz w:val="24"/>
        </w:rPr>
        <w:t>8</w:t>
      </w:r>
      <w:r w:rsidRPr="00B115D8" w:rsidR="00B115D8">
        <w:rPr>
          <w:rFonts w:ascii="Arial" w:hAnsi="Arial" w:cs="Arial"/>
          <w:sz w:val="24"/>
        </w:rPr>
        <w:t xml:space="preserve"> </w:t>
      </w:r>
      <w:r w:rsidRPr="00B115D8">
        <w:rPr>
          <w:rFonts w:ascii="Arial" w:hAnsi="Arial" w:cs="Arial"/>
          <w:sz w:val="24"/>
        </w:rPr>
        <w:t xml:space="preserve">of our </w:t>
      </w:r>
      <w:r w:rsidRPr="00B115D8" w:rsidR="00F75EEF">
        <w:rPr>
          <w:rFonts w:ascii="Arial" w:hAnsi="Arial" w:cs="Arial"/>
          <w:sz w:val="24"/>
        </w:rPr>
        <w:t>87</w:t>
      </w:r>
      <w:r w:rsidRPr="00B115D8">
        <w:rPr>
          <w:rFonts w:ascii="Arial" w:hAnsi="Arial" w:cs="Arial"/>
          <w:sz w:val="24"/>
        </w:rPr>
        <w:t xml:space="preserve"> </w:t>
      </w:r>
      <w:r w:rsidRPr="00B115D8" w:rsidR="00667EC4">
        <w:rPr>
          <w:rFonts w:ascii="Arial" w:hAnsi="Arial" w:cs="Arial"/>
          <w:sz w:val="24"/>
        </w:rPr>
        <w:t xml:space="preserve">planned </w:t>
      </w:r>
      <w:r w:rsidRPr="00B115D8">
        <w:rPr>
          <w:rFonts w:ascii="Arial" w:hAnsi="Arial" w:cs="Arial"/>
          <w:sz w:val="24"/>
        </w:rPr>
        <w:t>key projects/activities</w:t>
      </w:r>
      <w:r w:rsidRPr="00B115D8" w:rsidR="00490506">
        <w:rPr>
          <w:rFonts w:ascii="Arial" w:hAnsi="Arial" w:cs="Arial"/>
          <w:sz w:val="24"/>
        </w:rPr>
        <w:t>.</w:t>
      </w:r>
      <w:r w:rsidRPr="00B115D8" w:rsidR="00490506">
        <w:rPr>
          <w:rFonts w:ascii="Arial" w:hAnsi="Arial" w:cs="Arial"/>
          <w:b/>
          <w:sz w:val="24"/>
        </w:rPr>
        <w:t xml:space="preserve">  </w:t>
      </w:r>
      <w:r w:rsidRPr="00A57C11" w:rsidR="00B115D8">
        <w:rPr>
          <w:rFonts w:ascii="Arial" w:hAnsi="Arial" w:cs="Arial"/>
          <w:sz w:val="24"/>
        </w:rPr>
        <w:t>1</w:t>
      </w:r>
      <w:r w:rsidRPr="00A57C11" w:rsidR="00657E40">
        <w:rPr>
          <w:rFonts w:ascii="Arial" w:hAnsi="Arial" w:cs="Arial"/>
          <w:sz w:val="24"/>
        </w:rPr>
        <w:t>1</w:t>
      </w:r>
      <w:r w:rsidRPr="00A57C11" w:rsidR="00870308">
        <w:rPr>
          <w:rFonts w:ascii="Arial" w:hAnsi="Arial" w:cs="Arial"/>
          <w:sz w:val="24"/>
        </w:rPr>
        <w:t xml:space="preserve"> projects/activit</w:t>
      </w:r>
      <w:r w:rsidRPr="00A57C11" w:rsidR="00BA0597">
        <w:rPr>
          <w:rFonts w:ascii="Arial" w:hAnsi="Arial" w:cs="Arial"/>
          <w:sz w:val="24"/>
        </w:rPr>
        <w:t>i</w:t>
      </w:r>
      <w:r w:rsidRPr="00A57C11" w:rsidR="008B6466">
        <w:rPr>
          <w:rFonts w:ascii="Arial" w:hAnsi="Arial" w:cs="Arial"/>
          <w:sz w:val="24"/>
        </w:rPr>
        <w:t>es were completed in Q4</w:t>
      </w:r>
      <w:r w:rsidR="00A57C11">
        <w:rPr>
          <w:rFonts w:ascii="Arial" w:hAnsi="Arial" w:cs="Arial"/>
          <w:sz w:val="24"/>
        </w:rPr>
        <w:t xml:space="preserve">.  These included developing a new Loans Fund for </w:t>
      </w:r>
      <w:r w:rsidR="00DE0E50">
        <w:rPr>
          <w:rFonts w:ascii="Arial" w:hAnsi="Arial" w:cs="Arial"/>
          <w:sz w:val="24"/>
        </w:rPr>
        <w:t>small and medium-</w:t>
      </w:r>
      <w:r w:rsidRPr="00A57C11" w:rsidR="00A57C11">
        <w:rPr>
          <w:rFonts w:ascii="Arial" w:hAnsi="Arial" w:cs="Arial"/>
          <w:sz w:val="24"/>
        </w:rPr>
        <w:t>sized businesses</w:t>
      </w:r>
      <w:r w:rsidR="00A57C11">
        <w:rPr>
          <w:rFonts w:ascii="Arial" w:hAnsi="Arial" w:cs="Arial"/>
          <w:sz w:val="24"/>
        </w:rPr>
        <w:t xml:space="preserve">, completing the Wigton Town Centre Facelift Scheme, delivering 216 disabled facilities and discretionary grants, successfully gaining a Silver Better Health at Work Award, and </w:t>
      </w:r>
      <w:r w:rsidR="00DE0E50">
        <w:rPr>
          <w:rFonts w:ascii="Arial" w:hAnsi="Arial" w:cs="Arial"/>
          <w:sz w:val="24"/>
        </w:rPr>
        <w:t xml:space="preserve">generating an additional £80k of trade waste income through the growth of the service.  </w:t>
      </w:r>
    </w:p>
    <w:p w:rsidR="00894B6A" w:rsidP="00E66AF6" w:rsidRDefault="00894B6A" w14:paraId="46214B86" w14:textId="75D4FA89">
      <w:pPr>
        <w:spacing w:after="0" w:line="240" w:lineRule="auto"/>
        <w:ind w:left="-426" w:right="-810"/>
        <w:rPr>
          <w:rFonts w:ascii="Arial" w:hAnsi="Arial" w:cs="Arial"/>
          <w:sz w:val="23"/>
          <w:szCs w:val="23"/>
        </w:rPr>
      </w:pPr>
    </w:p>
    <w:p w:rsidR="00A55DB5" w:rsidP="004D11DC" w:rsidRDefault="00DB23A2" w14:paraId="772D40D3" w14:textId="4A4075A9">
      <w:pPr>
        <w:spacing w:after="0" w:line="240" w:lineRule="auto"/>
        <w:ind w:left="-425" w:right="-754"/>
        <w:rPr>
          <w:rFonts w:ascii="Arial" w:hAnsi="Arial" w:cs="Arial"/>
          <w:sz w:val="24"/>
          <w:szCs w:val="24"/>
        </w:rPr>
      </w:pPr>
      <w:r w:rsidRPr="00DE0E50">
        <w:rPr>
          <w:rFonts w:ascii="Arial" w:hAnsi="Arial" w:cs="Arial"/>
          <w:sz w:val="24"/>
          <w:szCs w:val="23"/>
        </w:rPr>
        <w:t xml:space="preserve">We are currently on track to achieve </w:t>
      </w:r>
      <w:r w:rsidRPr="000B4279" w:rsidR="00DE0E50">
        <w:rPr>
          <w:rFonts w:ascii="Arial" w:hAnsi="Arial" w:cs="Arial"/>
          <w:sz w:val="24"/>
          <w:szCs w:val="24"/>
        </w:rPr>
        <w:t>48</w:t>
      </w:r>
      <w:r w:rsidRPr="000B4279">
        <w:rPr>
          <w:rFonts w:ascii="Arial" w:hAnsi="Arial" w:cs="Arial"/>
          <w:sz w:val="24"/>
          <w:szCs w:val="24"/>
        </w:rPr>
        <w:t xml:space="preserve"> of the </w:t>
      </w:r>
      <w:bookmarkStart w:name="_GoBack" w:id="0"/>
      <w:bookmarkEnd w:id="0"/>
      <w:r w:rsidRPr="000B4279" w:rsidR="00DE0E50">
        <w:rPr>
          <w:rFonts w:ascii="Arial" w:hAnsi="Arial" w:cs="Arial"/>
          <w:sz w:val="24"/>
          <w:szCs w:val="24"/>
        </w:rPr>
        <w:t xml:space="preserve">key projects/activities </w:t>
      </w:r>
      <w:r w:rsidRPr="000B4279">
        <w:rPr>
          <w:rFonts w:ascii="Arial" w:hAnsi="Arial" w:cs="Arial"/>
          <w:sz w:val="24"/>
          <w:szCs w:val="24"/>
        </w:rPr>
        <w:t>that continue into 201</w:t>
      </w:r>
      <w:r w:rsidRPr="000B4279" w:rsidR="00DE0E50">
        <w:rPr>
          <w:rFonts w:ascii="Arial" w:hAnsi="Arial" w:cs="Arial"/>
          <w:sz w:val="24"/>
          <w:szCs w:val="24"/>
        </w:rPr>
        <w:t>9/20</w:t>
      </w:r>
      <w:r w:rsidRPr="000B4279">
        <w:rPr>
          <w:rFonts w:ascii="Arial" w:hAnsi="Arial" w:cs="Arial"/>
          <w:sz w:val="24"/>
          <w:szCs w:val="24"/>
        </w:rPr>
        <w:t xml:space="preserve">. </w:t>
      </w:r>
      <w:r w:rsidR="000B4279">
        <w:rPr>
          <w:rFonts w:ascii="Arial" w:hAnsi="Arial" w:cs="Arial"/>
          <w:sz w:val="24"/>
          <w:szCs w:val="24"/>
        </w:rPr>
        <w:t>Highlights include</w:t>
      </w:r>
      <w:r w:rsidRPr="000B4279" w:rsidR="00A36E69">
        <w:rPr>
          <w:rFonts w:ascii="Arial" w:hAnsi="Arial" w:cs="Arial"/>
          <w:sz w:val="24"/>
          <w:szCs w:val="24"/>
        </w:rPr>
        <w:t>:</w:t>
      </w:r>
      <w:r w:rsidRPr="000B4279" w:rsidR="000B4279">
        <w:rPr>
          <w:rFonts w:ascii="Arial" w:hAnsi="Arial" w:cs="Arial"/>
          <w:sz w:val="24"/>
          <w:szCs w:val="24"/>
        </w:rPr>
        <w:t xml:space="preserve"> bringing partners together to form the Allerdale Work and Skills Partnership which aims to better join up training and skills with the needs of businesses; good progress supporting community led housing schemes; </w:t>
      </w:r>
      <w:r w:rsidRPr="004D11DC" w:rsidR="004D11DC">
        <w:rPr>
          <w:rFonts w:ascii="Arial" w:hAnsi="Arial" w:cs="Arial"/>
          <w:sz w:val="24"/>
          <w:szCs w:val="24"/>
        </w:rPr>
        <w:t xml:space="preserve">formal launch of the China Forum </w:t>
      </w:r>
      <w:r w:rsidR="004D11DC">
        <w:rPr>
          <w:rFonts w:ascii="Arial" w:hAnsi="Arial" w:cs="Arial"/>
          <w:sz w:val="24"/>
          <w:szCs w:val="24"/>
        </w:rPr>
        <w:t xml:space="preserve">to focus on </w:t>
      </w:r>
      <w:r w:rsidR="000079C3">
        <w:rPr>
          <w:rFonts w:ascii="Arial" w:hAnsi="Arial" w:cs="Arial"/>
          <w:sz w:val="24"/>
          <w:szCs w:val="24"/>
        </w:rPr>
        <w:t>attracting</w:t>
      </w:r>
      <w:r w:rsidR="004D11DC">
        <w:rPr>
          <w:rFonts w:ascii="Arial" w:hAnsi="Arial" w:cs="Arial"/>
          <w:sz w:val="24"/>
          <w:szCs w:val="24"/>
        </w:rPr>
        <w:t xml:space="preserve"> Chinese visitors to Allerdale; </w:t>
      </w:r>
      <w:r w:rsidRPr="004D11DC" w:rsidR="004D11DC">
        <w:rPr>
          <w:rFonts w:ascii="Arial" w:hAnsi="Arial" w:cs="Arial"/>
          <w:sz w:val="24"/>
          <w:szCs w:val="24"/>
        </w:rPr>
        <w:t>re-locat</w:t>
      </w:r>
      <w:r w:rsidR="004D11DC">
        <w:rPr>
          <w:rFonts w:ascii="Arial" w:hAnsi="Arial" w:cs="Arial"/>
          <w:sz w:val="24"/>
          <w:szCs w:val="24"/>
        </w:rPr>
        <w:t xml:space="preserve">ion of the </w:t>
      </w:r>
      <w:r w:rsidRPr="004D11DC" w:rsidR="004D11DC">
        <w:rPr>
          <w:rFonts w:ascii="Arial" w:hAnsi="Arial" w:cs="Arial"/>
          <w:sz w:val="24"/>
          <w:szCs w:val="24"/>
        </w:rPr>
        <w:t xml:space="preserve">Allerdale Local Focus Hub to Allerdale House </w:t>
      </w:r>
      <w:r w:rsidR="004D11DC">
        <w:rPr>
          <w:rFonts w:ascii="Arial" w:hAnsi="Arial" w:cs="Arial"/>
          <w:sz w:val="24"/>
          <w:szCs w:val="24"/>
        </w:rPr>
        <w:t>and assignment of dedicated o</w:t>
      </w:r>
      <w:r w:rsidRPr="004D11DC" w:rsidR="004D11DC">
        <w:rPr>
          <w:rFonts w:ascii="Arial" w:hAnsi="Arial" w:cs="Arial"/>
          <w:sz w:val="24"/>
          <w:szCs w:val="24"/>
        </w:rPr>
        <w:t xml:space="preserve">fficer </w:t>
      </w:r>
      <w:r w:rsidR="004D11DC">
        <w:rPr>
          <w:rFonts w:ascii="Arial" w:hAnsi="Arial" w:cs="Arial"/>
          <w:sz w:val="24"/>
          <w:szCs w:val="24"/>
        </w:rPr>
        <w:t xml:space="preserve">time to support </w:t>
      </w:r>
      <w:r w:rsidRPr="004D11DC" w:rsidR="004D11DC">
        <w:rPr>
          <w:rFonts w:ascii="Arial" w:hAnsi="Arial" w:cs="Arial"/>
          <w:sz w:val="24"/>
          <w:szCs w:val="24"/>
        </w:rPr>
        <w:t>the management of this partnership</w:t>
      </w:r>
      <w:r w:rsidR="004D11DC">
        <w:rPr>
          <w:rFonts w:ascii="Arial" w:hAnsi="Arial" w:cs="Arial"/>
          <w:sz w:val="24"/>
          <w:szCs w:val="24"/>
        </w:rPr>
        <w:t>;</w:t>
      </w:r>
      <w:r w:rsidR="009F189F">
        <w:rPr>
          <w:rFonts w:ascii="Arial" w:hAnsi="Arial" w:cs="Arial"/>
          <w:sz w:val="24"/>
          <w:szCs w:val="24"/>
        </w:rPr>
        <w:t xml:space="preserve"> </w:t>
      </w:r>
      <w:r w:rsidR="00A55DB5">
        <w:rPr>
          <w:rFonts w:ascii="Arial" w:hAnsi="Arial" w:cs="Arial"/>
          <w:sz w:val="24"/>
          <w:szCs w:val="24"/>
        </w:rPr>
        <w:t xml:space="preserve">and the success of the </w:t>
      </w:r>
      <w:r w:rsidRPr="00A55DB5" w:rsidR="00A55DB5">
        <w:rPr>
          <w:rFonts w:ascii="Arial" w:hAnsi="Arial" w:cs="Arial"/>
          <w:sz w:val="24"/>
          <w:szCs w:val="24"/>
        </w:rPr>
        <w:t xml:space="preserve">Workington Healthwise </w:t>
      </w:r>
      <w:r w:rsidR="00A55DB5">
        <w:rPr>
          <w:rFonts w:ascii="Arial" w:hAnsi="Arial" w:cs="Arial"/>
          <w:sz w:val="24"/>
          <w:szCs w:val="24"/>
        </w:rPr>
        <w:t xml:space="preserve">social prescribing </w:t>
      </w:r>
      <w:r w:rsidRPr="00A55DB5" w:rsidR="00A55DB5">
        <w:rPr>
          <w:rFonts w:ascii="Arial" w:hAnsi="Arial" w:cs="Arial"/>
          <w:sz w:val="24"/>
          <w:szCs w:val="24"/>
        </w:rPr>
        <w:t>programme</w:t>
      </w:r>
      <w:r w:rsidR="00A55DB5">
        <w:rPr>
          <w:rFonts w:ascii="Arial" w:hAnsi="Arial" w:cs="Arial"/>
          <w:sz w:val="24"/>
          <w:szCs w:val="24"/>
        </w:rPr>
        <w:t xml:space="preserve">. </w:t>
      </w:r>
    </w:p>
    <w:p w:rsidRPr="008D3AA9" w:rsidR="00DB23A2" w:rsidP="00A55DB5" w:rsidRDefault="00A55DB5" w14:paraId="5B7A4853" w14:textId="68C56129">
      <w:pPr>
        <w:spacing w:after="0" w:line="240" w:lineRule="auto"/>
        <w:ind w:left="-425" w:right="-754"/>
        <w:rPr>
          <w:rFonts w:ascii="Arial" w:hAnsi="Arial" w:cs="Arial"/>
          <w:sz w:val="24"/>
          <w:szCs w:val="24"/>
        </w:rPr>
      </w:pPr>
      <w:r>
        <w:rPr>
          <w:rFonts w:ascii="Arial" w:hAnsi="Arial" w:cs="Arial"/>
          <w:sz w:val="24"/>
          <w:szCs w:val="24"/>
        </w:rPr>
        <w:t xml:space="preserve"> </w:t>
      </w:r>
      <w:r w:rsidRPr="00A55DB5">
        <w:rPr>
          <w:rFonts w:ascii="Arial" w:hAnsi="Arial" w:cs="Arial"/>
          <w:sz w:val="24"/>
          <w:szCs w:val="24"/>
        </w:rPr>
        <w:t xml:space="preserve"> </w:t>
      </w:r>
    </w:p>
    <w:p w:rsidRPr="008D3AA9" w:rsidR="008D3AA9" w:rsidP="009C07D6" w:rsidRDefault="00A56076" w14:paraId="7BEEA4EC" w14:textId="77777777">
      <w:pPr>
        <w:spacing w:after="120" w:line="240" w:lineRule="auto"/>
        <w:ind w:left="-425" w:right="-754"/>
        <w:rPr>
          <w:rFonts w:ascii="Arial" w:hAnsi="Arial" w:cs="Arial"/>
          <w:sz w:val="24"/>
          <w:szCs w:val="24"/>
        </w:rPr>
      </w:pPr>
      <w:r w:rsidRPr="008D3AA9">
        <w:rPr>
          <w:rFonts w:ascii="Arial" w:hAnsi="Arial" w:cs="Arial"/>
          <w:sz w:val="24"/>
          <w:szCs w:val="24"/>
        </w:rPr>
        <w:t xml:space="preserve">There were </w:t>
      </w:r>
      <w:r w:rsidRPr="008D3AA9" w:rsidR="00490506">
        <w:rPr>
          <w:rFonts w:ascii="Arial" w:hAnsi="Arial" w:cs="Arial"/>
          <w:sz w:val="24"/>
          <w:szCs w:val="24"/>
        </w:rPr>
        <w:t>1</w:t>
      </w:r>
      <w:r w:rsidRPr="008D3AA9" w:rsidR="00DE0E50">
        <w:rPr>
          <w:rFonts w:ascii="Arial" w:hAnsi="Arial" w:cs="Arial"/>
          <w:sz w:val="24"/>
          <w:szCs w:val="24"/>
        </w:rPr>
        <w:t>1</w:t>
      </w:r>
      <w:r w:rsidRPr="008D3AA9">
        <w:rPr>
          <w:rFonts w:ascii="Arial" w:hAnsi="Arial" w:cs="Arial"/>
          <w:sz w:val="24"/>
          <w:szCs w:val="24"/>
        </w:rPr>
        <w:t xml:space="preserve"> projects/activities</w:t>
      </w:r>
      <w:r w:rsidRPr="008D3AA9" w:rsidR="00DE0E50">
        <w:rPr>
          <w:rFonts w:ascii="Arial" w:hAnsi="Arial" w:cs="Arial"/>
          <w:sz w:val="24"/>
          <w:szCs w:val="24"/>
        </w:rPr>
        <w:t xml:space="preserve"> reported as amber </w:t>
      </w:r>
      <w:r w:rsidRPr="008D3AA9" w:rsidR="008D3AA9">
        <w:rPr>
          <w:rFonts w:ascii="Arial" w:hAnsi="Arial" w:cs="Arial"/>
          <w:sz w:val="24"/>
          <w:szCs w:val="24"/>
        </w:rPr>
        <w:t xml:space="preserve">at the end of 2018/19:  </w:t>
      </w:r>
    </w:p>
    <w:p w:rsidRPr="009C07D6" w:rsidR="008D3AA9" w:rsidP="009C07D6" w:rsidRDefault="008D3AA9" w14:paraId="240EC439" w14:textId="60E15B7F">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 xml:space="preserve">Work to facilitate the development of </w:t>
      </w:r>
      <w:r w:rsidRPr="009C07D6" w:rsidR="00C64B51">
        <w:rPr>
          <w:rFonts w:ascii="Arial" w:hAnsi="Arial" w:cs="Arial"/>
          <w:sz w:val="24"/>
          <w:szCs w:val="24"/>
        </w:rPr>
        <w:t>a new housing</w:t>
      </w:r>
      <w:r w:rsidRPr="009C07D6">
        <w:rPr>
          <w:rFonts w:ascii="Arial" w:hAnsi="Arial" w:cs="Arial"/>
          <w:sz w:val="24"/>
          <w:szCs w:val="24"/>
        </w:rPr>
        <w:t xml:space="preserve"> site</w:t>
      </w:r>
      <w:r w:rsidRPr="009C07D6" w:rsidR="00C64B51">
        <w:rPr>
          <w:rFonts w:ascii="Arial" w:hAnsi="Arial" w:cs="Arial"/>
          <w:sz w:val="24"/>
          <w:szCs w:val="24"/>
        </w:rPr>
        <w:t xml:space="preserve"> at Westfield with funding from the Accelerated Construction Programme has some issues to resolve before it can progress.  </w:t>
      </w:r>
    </w:p>
    <w:p w:rsidRPr="009C07D6" w:rsidR="008D3AA9" w:rsidP="009C07D6" w:rsidRDefault="00C64B51" w14:paraId="620DCC5F" w14:textId="14AA089A">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Work to increase the percentage of Council spend with local businesses providing goods and services through activity to proactively engage with local businesses as part of procurement and commissioning has resulted in below target performance for 2018/19.</w:t>
      </w:r>
    </w:p>
    <w:p w:rsidRPr="009C07D6" w:rsidR="008D3AA9" w:rsidP="009C07D6" w:rsidRDefault="00C64B51" w14:paraId="7BE0CFF7" w14:textId="41B5CD75">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Work to implement the Heritage Strategy is progressing more slowly than originally planned.</w:t>
      </w:r>
    </w:p>
    <w:p w:rsidRPr="009C07D6" w:rsidR="00C64B51" w:rsidP="009C07D6" w:rsidRDefault="00C64B51" w14:paraId="7697E648" w14:textId="47E91B3B">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Work to get Curwen Hall off the ‘at risk’ register has encountered cost issues and grants are having to be reapplied for.</w:t>
      </w:r>
    </w:p>
    <w:p w:rsidRPr="009C07D6" w:rsidR="00EC3B7C" w:rsidP="009C07D6" w:rsidRDefault="00EC3B7C" w14:paraId="266ABAA1" w14:textId="6EE3B630">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 xml:space="preserve">Public realm improvements incorporating Brow Top, Central Way Underpass and Workington Leisure Centre are running more slowly than originally anticipated. </w:t>
      </w:r>
    </w:p>
    <w:p w:rsidRPr="009C07D6" w:rsidR="00EC3B7C" w:rsidP="009C07D6" w:rsidRDefault="00EC3B7C" w14:paraId="30D13A49" w14:textId="233BD10D">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Only two of three planned environmental enforcement media campaigns around tackling dog-fouling, littering and fly-tipping carried out in 2018/19.</w:t>
      </w:r>
    </w:p>
    <w:p w:rsidRPr="009C07D6" w:rsidR="00EC3B7C" w:rsidP="009C07D6" w:rsidRDefault="00EC3B7C" w14:paraId="6FDE480C" w14:textId="0B859A62">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 xml:space="preserve">Only six empty property grants completed in 2018/19, the target was ten.  Although there are an additional 15 still ongoing. </w:t>
      </w:r>
    </w:p>
    <w:p w:rsidRPr="009C07D6" w:rsidR="00EC3B7C" w:rsidP="009C07D6" w:rsidRDefault="00EC3B7C" w14:paraId="1F806530" w14:textId="57B100E4">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Work to develop an empty homes strategy will now take place as part of the refresh of the Housing Strategy.</w:t>
      </w:r>
    </w:p>
    <w:p w:rsidRPr="009C07D6" w:rsidR="00EC3B7C" w:rsidP="009C07D6" w:rsidRDefault="00EC3B7C" w14:paraId="3C7C01BF" w14:textId="73AC3414">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Work to review our Revenues and Benefits Shared arrangements has been res</w:t>
      </w:r>
      <w:r w:rsidR="000079C3">
        <w:rPr>
          <w:rFonts w:ascii="Arial" w:hAnsi="Arial" w:cs="Arial"/>
          <w:sz w:val="24"/>
          <w:szCs w:val="24"/>
        </w:rPr>
        <w:t>cheduled to be completed by mid-</w:t>
      </w:r>
      <w:r w:rsidRPr="009C07D6">
        <w:rPr>
          <w:rFonts w:ascii="Arial" w:hAnsi="Arial" w:cs="Arial"/>
          <w:sz w:val="24"/>
          <w:szCs w:val="24"/>
        </w:rPr>
        <w:t>2019.</w:t>
      </w:r>
    </w:p>
    <w:p w:rsidRPr="009C07D6" w:rsidR="00EC3B7C" w:rsidP="009C07D6" w:rsidRDefault="00A32DED" w14:paraId="42474630" w14:textId="4108FDA1">
      <w:pPr>
        <w:pStyle w:val="ListParagraph"/>
        <w:numPr>
          <w:ilvl w:val="0"/>
          <w:numId w:val="42"/>
        </w:numPr>
        <w:spacing w:after="120" w:line="240" w:lineRule="auto"/>
        <w:ind w:right="-754"/>
        <w:rPr>
          <w:rFonts w:ascii="Arial" w:hAnsi="Arial" w:cs="Arial"/>
          <w:sz w:val="24"/>
          <w:szCs w:val="24"/>
        </w:rPr>
      </w:pPr>
      <w:r w:rsidRPr="009C07D6">
        <w:rPr>
          <w:rFonts w:ascii="Arial" w:hAnsi="Arial" w:cs="Arial"/>
          <w:sz w:val="24"/>
          <w:szCs w:val="24"/>
        </w:rPr>
        <w:t>Delivery of some elements of the new Digital Strategy are underway, but some are behind schedule.</w:t>
      </w:r>
    </w:p>
    <w:p w:rsidR="00EC3B7C" w:rsidP="009C07D6" w:rsidRDefault="00A32DED" w14:paraId="0D7C46CB" w14:textId="299BC24B">
      <w:pPr>
        <w:pStyle w:val="ListParagraph"/>
        <w:numPr>
          <w:ilvl w:val="0"/>
          <w:numId w:val="42"/>
        </w:numPr>
        <w:spacing w:after="0" w:line="240" w:lineRule="auto"/>
        <w:ind w:left="295" w:right="-754"/>
        <w:contextualSpacing w:val="0"/>
        <w:rPr>
          <w:rFonts w:ascii="Arial" w:hAnsi="Arial" w:cs="Arial"/>
          <w:sz w:val="24"/>
          <w:szCs w:val="24"/>
        </w:rPr>
      </w:pPr>
      <w:r w:rsidRPr="009C07D6">
        <w:rPr>
          <w:rFonts w:ascii="Arial" w:hAnsi="Arial" w:cs="Arial"/>
          <w:sz w:val="24"/>
          <w:szCs w:val="24"/>
        </w:rPr>
        <w:t>The impact of the changes to local government financing remains unknown as government has yet to detail the changes.  The Medium term Financial Plan will be updated as new information becomes available.</w:t>
      </w:r>
    </w:p>
    <w:p w:rsidRPr="009C07D6" w:rsidR="009C07D6" w:rsidP="009C07D6" w:rsidRDefault="009C07D6" w14:paraId="57796ED7" w14:textId="77777777">
      <w:pPr>
        <w:pStyle w:val="ListParagraph"/>
        <w:spacing w:after="0" w:line="240" w:lineRule="auto"/>
        <w:ind w:left="295" w:right="-754"/>
        <w:contextualSpacing w:val="0"/>
        <w:rPr>
          <w:rFonts w:ascii="Arial" w:hAnsi="Arial" w:cs="Arial"/>
          <w:sz w:val="24"/>
          <w:szCs w:val="24"/>
        </w:rPr>
      </w:pPr>
    </w:p>
    <w:p w:rsidRPr="008D3AA9" w:rsidR="00A56076" w:rsidP="009C07D6" w:rsidRDefault="008D3AA9" w14:paraId="02E9C528" w14:textId="5D064C2A">
      <w:pPr>
        <w:spacing w:after="120" w:line="240" w:lineRule="auto"/>
        <w:ind w:left="-425" w:right="-754"/>
        <w:rPr>
          <w:rFonts w:ascii="Arial" w:hAnsi="Arial" w:cs="Arial"/>
          <w:sz w:val="24"/>
          <w:szCs w:val="24"/>
        </w:rPr>
      </w:pPr>
      <w:r w:rsidRPr="008D3AA9">
        <w:rPr>
          <w:rFonts w:ascii="Arial" w:hAnsi="Arial" w:cs="Arial"/>
          <w:sz w:val="24"/>
          <w:szCs w:val="24"/>
        </w:rPr>
        <w:t xml:space="preserve">There were three projects/activities reported </w:t>
      </w:r>
      <w:r w:rsidRPr="008D3AA9" w:rsidR="00DE0E50">
        <w:rPr>
          <w:rFonts w:ascii="Arial" w:hAnsi="Arial" w:cs="Arial"/>
          <w:sz w:val="24"/>
          <w:szCs w:val="24"/>
        </w:rPr>
        <w:t>as red at the end of 2018/19</w:t>
      </w:r>
      <w:r w:rsidRPr="008D3AA9" w:rsidR="00597C75">
        <w:rPr>
          <w:rFonts w:ascii="Arial" w:hAnsi="Arial" w:cs="Arial"/>
          <w:sz w:val="24"/>
          <w:szCs w:val="24"/>
        </w:rPr>
        <w:t>:</w:t>
      </w:r>
      <w:r w:rsidRPr="008D3AA9" w:rsidR="00A56076">
        <w:rPr>
          <w:rFonts w:ascii="Arial" w:hAnsi="Arial" w:cs="Arial"/>
          <w:sz w:val="24"/>
          <w:szCs w:val="24"/>
        </w:rPr>
        <w:t xml:space="preserve">  </w:t>
      </w:r>
    </w:p>
    <w:p w:rsidR="00A768FD" w:rsidP="009C07D6" w:rsidRDefault="00A32DED" w14:paraId="78887348" w14:textId="6A12C661">
      <w:pPr>
        <w:pStyle w:val="ListParagraph"/>
        <w:numPr>
          <w:ilvl w:val="0"/>
          <w:numId w:val="41"/>
        </w:numPr>
        <w:spacing w:after="0" w:line="240" w:lineRule="auto"/>
        <w:ind w:left="289" w:right="-811" w:hanging="357"/>
        <w:contextualSpacing w:val="0"/>
        <w:rPr>
          <w:rFonts w:ascii="Arial" w:hAnsi="Arial" w:cs="Arial"/>
          <w:sz w:val="24"/>
          <w:szCs w:val="24"/>
        </w:rPr>
      </w:pPr>
      <w:r>
        <w:rPr>
          <w:rFonts w:ascii="Arial" w:hAnsi="Arial" w:cs="Arial"/>
          <w:sz w:val="24"/>
          <w:szCs w:val="24"/>
        </w:rPr>
        <w:t>C</w:t>
      </w:r>
      <w:r w:rsidRPr="00A32DED">
        <w:rPr>
          <w:rFonts w:ascii="Arial" w:hAnsi="Arial" w:cs="Arial"/>
          <w:sz w:val="24"/>
          <w:szCs w:val="24"/>
        </w:rPr>
        <w:t>o-location of customer access points across the district into libraries/other appropriate locations</w:t>
      </w:r>
      <w:r>
        <w:rPr>
          <w:rFonts w:ascii="Arial" w:hAnsi="Arial" w:cs="Arial"/>
          <w:sz w:val="24"/>
          <w:szCs w:val="24"/>
        </w:rPr>
        <w:t xml:space="preserve"> – tentative task have resumed with CCC, but it is likely to be some time before any decision has been reached on CCC’s side. </w:t>
      </w:r>
    </w:p>
    <w:p w:rsidRPr="008D3AA9" w:rsidR="00A32DED" w:rsidP="009C07D6" w:rsidRDefault="009C07D6" w14:paraId="24055B61" w14:textId="5343A6B3">
      <w:pPr>
        <w:pStyle w:val="ListParagraph"/>
        <w:numPr>
          <w:ilvl w:val="0"/>
          <w:numId w:val="41"/>
        </w:numPr>
        <w:spacing w:after="0" w:line="240" w:lineRule="auto"/>
        <w:ind w:left="289" w:right="-811" w:hanging="357"/>
        <w:contextualSpacing w:val="0"/>
        <w:rPr>
          <w:rFonts w:ascii="Arial" w:hAnsi="Arial" w:cs="Arial"/>
          <w:sz w:val="24"/>
          <w:szCs w:val="24"/>
        </w:rPr>
      </w:pPr>
      <w:r>
        <w:rPr>
          <w:rFonts w:ascii="Arial" w:hAnsi="Arial" w:cs="Arial"/>
          <w:sz w:val="24"/>
          <w:szCs w:val="24"/>
        </w:rPr>
        <w:t>The t</w:t>
      </w:r>
      <w:r w:rsidRPr="00A32DED" w:rsidR="00A32DED">
        <w:rPr>
          <w:rFonts w:ascii="Arial" w:hAnsi="Arial" w:cs="Arial"/>
          <w:sz w:val="24"/>
          <w:szCs w:val="24"/>
        </w:rPr>
        <w:t xml:space="preserve">own centre wifi project has been mothballed pending </w:t>
      </w:r>
      <w:r>
        <w:rPr>
          <w:rFonts w:ascii="Arial" w:hAnsi="Arial" w:cs="Arial"/>
          <w:sz w:val="24"/>
          <w:szCs w:val="24"/>
        </w:rPr>
        <w:t xml:space="preserve">an </w:t>
      </w:r>
      <w:r w:rsidRPr="00A32DED" w:rsidR="00A32DED">
        <w:rPr>
          <w:rFonts w:ascii="Arial" w:hAnsi="Arial" w:cs="Arial"/>
          <w:sz w:val="24"/>
          <w:szCs w:val="24"/>
        </w:rPr>
        <w:t xml:space="preserve">agreement on </w:t>
      </w:r>
      <w:r>
        <w:rPr>
          <w:rFonts w:ascii="Arial" w:hAnsi="Arial" w:cs="Arial"/>
          <w:sz w:val="24"/>
          <w:szCs w:val="24"/>
        </w:rPr>
        <w:t xml:space="preserve">our </w:t>
      </w:r>
      <w:r w:rsidRPr="00A32DED" w:rsidR="00A32DED">
        <w:rPr>
          <w:rFonts w:ascii="Arial" w:hAnsi="Arial" w:cs="Arial"/>
          <w:sz w:val="24"/>
          <w:szCs w:val="24"/>
        </w:rPr>
        <w:t>use of s</w:t>
      </w:r>
      <w:r>
        <w:rPr>
          <w:rFonts w:ascii="Arial" w:hAnsi="Arial" w:cs="Arial"/>
          <w:sz w:val="24"/>
          <w:szCs w:val="24"/>
        </w:rPr>
        <w:t xml:space="preserve">treet lights for wifi equipment.  </w:t>
      </w:r>
    </w:p>
    <w:p w:rsidRPr="00903530" w:rsidR="00903530" w:rsidP="00CF72B6" w:rsidRDefault="00A32DED" w14:paraId="725745FA" w14:textId="2392431A">
      <w:pPr>
        <w:pStyle w:val="ListParagraph"/>
        <w:numPr>
          <w:ilvl w:val="0"/>
          <w:numId w:val="41"/>
        </w:numPr>
        <w:spacing w:after="0" w:line="240" w:lineRule="auto"/>
        <w:ind w:left="289" w:right="-754" w:hanging="357"/>
        <w:contextualSpacing w:val="0"/>
        <w:rPr>
          <w:rFonts w:ascii="Arial" w:hAnsi="Arial" w:cs="Arial"/>
          <w:sz w:val="24"/>
        </w:rPr>
      </w:pPr>
      <w:r w:rsidRPr="00903530">
        <w:rPr>
          <w:rFonts w:ascii="Arial" w:hAnsi="Arial" w:cs="Arial"/>
          <w:sz w:val="24"/>
        </w:rPr>
        <w:t>Implementation of the new web-based land and property system (Arcus) has experienced significant issues.  There is a plan in place to address these.</w:t>
      </w:r>
      <w:r w:rsidRPr="00903530" w:rsidR="00903530">
        <w:rPr>
          <w:rFonts w:ascii="Arial" w:hAnsi="Arial" w:cs="Arial"/>
          <w:sz w:val="24"/>
        </w:rPr>
        <w:br w:type="page"/>
      </w:r>
    </w:p>
    <w:p w:rsidRPr="00405189" w:rsidR="00A56076" w:rsidP="000116B7" w:rsidRDefault="00A56076" w14:paraId="5E095184" w14:textId="4CDF1925">
      <w:pPr>
        <w:spacing w:after="240" w:line="240" w:lineRule="auto"/>
        <w:ind w:left="-426" w:right="-754"/>
        <w:rPr>
          <w:rFonts w:ascii="Arial" w:hAnsi="Arial" w:cs="Arial"/>
          <w:b/>
          <w:sz w:val="28"/>
          <w:szCs w:val="26"/>
        </w:rPr>
      </w:pPr>
      <w:r w:rsidRPr="00405189">
        <w:rPr>
          <w:rFonts w:ascii="Arial" w:hAnsi="Arial" w:cs="Arial"/>
          <w:b/>
          <w:sz w:val="28"/>
          <w:szCs w:val="26"/>
        </w:rPr>
        <w:lastRenderedPageBreak/>
        <w:t>Key performance indicators</w:t>
      </w:r>
      <w:r w:rsidRPr="00405189" w:rsidR="00B73572">
        <w:rPr>
          <w:rFonts w:ascii="Arial" w:hAnsi="Arial" w:cs="Arial"/>
          <w:b/>
          <w:sz w:val="28"/>
          <w:szCs w:val="26"/>
        </w:rPr>
        <w:t xml:space="preserve"> </w:t>
      </w:r>
      <w:r w:rsidRPr="00405189" w:rsidR="001C2684">
        <w:rPr>
          <w:rFonts w:ascii="Arial" w:hAnsi="Arial" w:cs="Arial"/>
          <w:b/>
          <w:sz w:val="28"/>
          <w:szCs w:val="26"/>
        </w:rPr>
        <w:t>(</w:t>
      </w:r>
      <w:r w:rsidR="00405189">
        <w:rPr>
          <w:rFonts w:ascii="Arial" w:hAnsi="Arial" w:cs="Arial"/>
          <w:b/>
          <w:sz w:val="28"/>
          <w:szCs w:val="26"/>
        </w:rPr>
        <w:t>end of year</w:t>
      </w:r>
      <w:r w:rsidRPr="00405189" w:rsidR="001C2684">
        <w:rPr>
          <w:rFonts w:ascii="Arial" w:hAnsi="Arial" w:cs="Arial"/>
          <w:b/>
          <w:sz w:val="28"/>
          <w:szCs w:val="26"/>
        </w:rPr>
        <w:t xml:space="preserve">) </w:t>
      </w:r>
      <w:r w:rsidRPr="00405189" w:rsidR="00B73572">
        <w:rPr>
          <w:rFonts w:ascii="Arial" w:hAnsi="Arial" w:cs="Arial"/>
          <w:sz w:val="28"/>
          <w:szCs w:val="26"/>
        </w:rPr>
        <w:t>(Appendix B)</w:t>
      </w:r>
    </w:p>
    <w:p w:rsidR="001C7B79" w:rsidP="000116B7" w:rsidRDefault="00A05C01" w14:paraId="3B2FA670" w14:textId="0006F623">
      <w:pPr>
        <w:pStyle w:val="Default"/>
        <w:ind w:left="-426"/>
        <w:rPr>
          <w:szCs w:val="23"/>
        </w:rPr>
      </w:pPr>
      <w:r w:rsidRPr="00A05C01">
        <w:rPr>
          <w:szCs w:val="23"/>
        </w:rPr>
        <w:t xml:space="preserve">At the end of the year performance on </w:t>
      </w:r>
      <w:r w:rsidR="001C7B79">
        <w:rPr>
          <w:szCs w:val="23"/>
        </w:rPr>
        <w:t>27</w:t>
      </w:r>
      <w:r w:rsidRPr="00A05C01">
        <w:rPr>
          <w:szCs w:val="23"/>
        </w:rPr>
        <w:t xml:space="preserve"> of our </w:t>
      </w:r>
      <w:r w:rsidR="001C7B79">
        <w:rPr>
          <w:szCs w:val="23"/>
        </w:rPr>
        <w:t>50</w:t>
      </w:r>
      <w:r w:rsidRPr="00A05C01">
        <w:rPr>
          <w:szCs w:val="23"/>
        </w:rPr>
        <w:t xml:space="preserve"> </w:t>
      </w:r>
      <w:r w:rsidR="008B51FC">
        <w:rPr>
          <w:szCs w:val="23"/>
        </w:rPr>
        <w:t>KPIs</w:t>
      </w:r>
      <w:r w:rsidRPr="00A05C01">
        <w:rPr>
          <w:szCs w:val="23"/>
        </w:rPr>
        <w:t xml:space="preserve"> is rated green, </w:t>
      </w:r>
      <w:r w:rsidR="00E66AF6">
        <w:rPr>
          <w:szCs w:val="23"/>
        </w:rPr>
        <w:t>13</w:t>
      </w:r>
      <w:r w:rsidRPr="00A05C01">
        <w:rPr>
          <w:szCs w:val="23"/>
        </w:rPr>
        <w:t xml:space="preserve"> </w:t>
      </w:r>
      <w:r w:rsidR="001C7B79">
        <w:rPr>
          <w:szCs w:val="23"/>
        </w:rPr>
        <w:t>performance indicators</w:t>
      </w:r>
      <w:r w:rsidRPr="00A05C01">
        <w:rPr>
          <w:szCs w:val="23"/>
        </w:rPr>
        <w:t xml:space="preserve"> are rated amber and </w:t>
      </w:r>
      <w:r w:rsidR="001C7B79">
        <w:rPr>
          <w:szCs w:val="23"/>
        </w:rPr>
        <w:t>six</w:t>
      </w:r>
      <w:r w:rsidRPr="00A05C01">
        <w:rPr>
          <w:szCs w:val="23"/>
        </w:rPr>
        <w:t xml:space="preserve"> are rated red. </w:t>
      </w:r>
    </w:p>
    <w:p w:rsidR="001C7B79" w:rsidP="000116B7" w:rsidRDefault="001C7B79" w14:paraId="71EC6E55" w14:textId="77777777">
      <w:pPr>
        <w:pStyle w:val="Default"/>
        <w:ind w:left="-426"/>
        <w:rPr>
          <w:szCs w:val="23"/>
        </w:rPr>
      </w:pPr>
    </w:p>
    <w:p w:rsidR="008B51FC" w:rsidP="000116B7" w:rsidRDefault="008B51FC" w14:paraId="0C273E36" w14:textId="5C32B177">
      <w:pPr>
        <w:pStyle w:val="Default"/>
        <w:ind w:left="-426"/>
        <w:rPr>
          <w:szCs w:val="23"/>
        </w:rPr>
      </w:pPr>
      <w:r>
        <w:rPr>
          <w:szCs w:val="23"/>
        </w:rPr>
        <w:t xml:space="preserve">The amber KPIs are: </w:t>
      </w:r>
    </w:p>
    <w:p w:rsidR="000116B7" w:rsidP="000116B7" w:rsidRDefault="000116B7" w14:paraId="2BB13211" w14:textId="6EB92DDC">
      <w:pPr>
        <w:pStyle w:val="Default"/>
        <w:numPr>
          <w:ilvl w:val="0"/>
          <w:numId w:val="38"/>
        </w:numPr>
        <w:rPr>
          <w:szCs w:val="23"/>
        </w:rPr>
      </w:pPr>
      <w:r>
        <w:rPr>
          <w:szCs w:val="23"/>
        </w:rPr>
        <w:t>Proportion of minor and other planning applications carried out within statutory timeframe</w:t>
      </w:r>
      <w:r w:rsidRPr="008B51FC">
        <w:rPr>
          <w:szCs w:val="23"/>
        </w:rPr>
        <w:tab/>
      </w:r>
      <w:r>
        <w:rPr>
          <w:szCs w:val="23"/>
        </w:rPr>
        <w:t xml:space="preserve"> - 89% against a target of 90%</w:t>
      </w:r>
      <w:r w:rsidR="00D070EB">
        <w:rPr>
          <w:szCs w:val="23"/>
        </w:rPr>
        <w:t>.</w:t>
      </w:r>
    </w:p>
    <w:p w:rsidR="000116B7" w:rsidP="000116B7" w:rsidRDefault="00710CD2" w14:paraId="47DA878C" w14:textId="17EFC6D8">
      <w:pPr>
        <w:pStyle w:val="Default"/>
        <w:numPr>
          <w:ilvl w:val="0"/>
          <w:numId w:val="38"/>
        </w:numPr>
        <w:rPr>
          <w:szCs w:val="23"/>
        </w:rPr>
      </w:pPr>
      <w:r>
        <w:rPr>
          <w:szCs w:val="23"/>
        </w:rPr>
        <w:t>Number of new housing completions – 337 against a target of 344</w:t>
      </w:r>
      <w:r w:rsidR="00D070EB">
        <w:rPr>
          <w:szCs w:val="23"/>
        </w:rPr>
        <w:t>.</w:t>
      </w:r>
    </w:p>
    <w:p w:rsidR="00710CD2" w:rsidP="00710CD2" w:rsidRDefault="00710CD2" w14:paraId="74F25E28" w14:textId="088E07E1">
      <w:pPr>
        <w:pStyle w:val="Default"/>
        <w:numPr>
          <w:ilvl w:val="0"/>
          <w:numId w:val="38"/>
        </w:numPr>
        <w:rPr>
          <w:szCs w:val="23"/>
        </w:rPr>
      </w:pPr>
      <w:r>
        <w:rPr>
          <w:szCs w:val="23"/>
        </w:rPr>
        <w:t xml:space="preserve">Proportion </w:t>
      </w:r>
      <w:r w:rsidRPr="00710CD2">
        <w:rPr>
          <w:szCs w:val="23"/>
        </w:rPr>
        <w:t xml:space="preserve">of invoices from local Cumbrian businesses paid within 14 days </w:t>
      </w:r>
      <w:r>
        <w:rPr>
          <w:szCs w:val="23"/>
        </w:rPr>
        <w:t xml:space="preserve">- </w:t>
      </w:r>
      <w:r w:rsidRPr="00710CD2">
        <w:rPr>
          <w:szCs w:val="23"/>
        </w:rPr>
        <w:t>93.1%</w:t>
      </w:r>
      <w:r>
        <w:rPr>
          <w:szCs w:val="23"/>
        </w:rPr>
        <w:t xml:space="preserve"> against a target of 98.0%</w:t>
      </w:r>
      <w:r w:rsidR="00D070EB">
        <w:rPr>
          <w:szCs w:val="23"/>
        </w:rPr>
        <w:t>.</w:t>
      </w:r>
    </w:p>
    <w:p w:rsidR="00710CD2" w:rsidP="00710CD2" w:rsidRDefault="00710CD2" w14:paraId="7DA87CC2" w14:textId="759A2888">
      <w:pPr>
        <w:pStyle w:val="Default"/>
        <w:numPr>
          <w:ilvl w:val="0"/>
          <w:numId w:val="38"/>
        </w:numPr>
        <w:rPr>
          <w:szCs w:val="23"/>
        </w:rPr>
      </w:pPr>
      <w:r>
        <w:rPr>
          <w:szCs w:val="23"/>
        </w:rPr>
        <w:t xml:space="preserve">Proportion </w:t>
      </w:r>
      <w:r w:rsidRPr="00710CD2">
        <w:rPr>
          <w:szCs w:val="23"/>
        </w:rPr>
        <w:t>of Council spend on goods and services with</w:t>
      </w:r>
      <w:r>
        <w:rPr>
          <w:szCs w:val="23"/>
        </w:rPr>
        <w:t xml:space="preserve"> local suppliers and companies – 38.2% against a target of 42.0%</w:t>
      </w:r>
      <w:r w:rsidR="00D070EB">
        <w:rPr>
          <w:szCs w:val="23"/>
        </w:rPr>
        <w:t>.</w:t>
      </w:r>
    </w:p>
    <w:p w:rsidR="00710CD2" w:rsidP="00710CD2" w:rsidRDefault="00710CD2" w14:paraId="1994488F" w14:textId="3E0AB40A">
      <w:pPr>
        <w:pStyle w:val="Default"/>
        <w:numPr>
          <w:ilvl w:val="0"/>
          <w:numId w:val="38"/>
        </w:numPr>
        <w:rPr>
          <w:szCs w:val="23"/>
        </w:rPr>
      </w:pPr>
      <w:r>
        <w:rPr>
          <w:szCs w:val="23"/>
        </w:rPr>
        <w:t xml:space="preserve">Keswick Leisure Centre usage - </w:t>
      </w:r>
      <w:r w:rsidRPr="00710CD2">
        <w:rPr>
          <w:szCs w:val="23"/>
        </w:rPr>
        <w:t>74</w:t>
      </w:r>
      <w:r>
        <w:rPr>
          <w:szCs w:val="23"/>
        </w:rPr>
        <w:t>,</w:t>
      </w:r>
      <w:r w:rsidRPr="00710CD2">
        <w:rPr>
          <w:szCs w:val="23"/>
        </w:rPr>
        <w:t>462</w:t>
      </w:r>
      <w:r>
        <w:rPr>
          <w:szCs w:val="23"/>
        </w:rPr>
        <w:t xml:space="preserve"> against a target of </w:t>
      </w:r>
      <w:r w:rsidRPr="00710CD2">
        <w:rPr>
          <w:szCs w:val="23"/>
        </w:rPr>
        <w:t>80</w:t>
      </w:r>
      <w:r>
        <w:rPr>
          <w:szCs w:val="23"/>
        </w:rPr>
        <w:t>,</w:t>
      </w:r>
      <w:r w:rsidRPr="00710CD2">
        <w:rPr>
          <w:szCs w:val="23"/>
        </w:rPr>
        <w:t>666</w:t>
      </w:r>
      <w:r w:rsidR="00D070EB">
        <w:rPr>
          <w:szCs w:val="23"/>
        </w:rPr>
        <w:t>.</w:t>
      </w:r>
    </w:p>
    <w:p w:rsidR="00710CD2" w:rsidP="00710CD2" w:rsidRDefault="00710CD2" w14:paraId="6B14BCBE" w14:textId="29EBC912">
      <w:pPr>
        <w:pStyle w:val="Default"/>
        <w:numPr>
          <w:ilvl w:val="0"/>
          <w:numId w:val="38"/>
        </w:numPr>
        <w:rPr>
          <w:szCs w:val="23"/>
        </w:rPr>
      </w:pPr>
      <w:r>
        <w:rPr>
          <w:szCs w:val="23"/>
        </w:rPr>
        <w:t xml:space="preserve">Cockermouth Leisure Centre usage – </w:t>
      </w:r>
      <w:r w:rsidRPr="00710CD2">
        <w:rPr>
          <w:szCs w:val="23"/>
        </w:rPr>
        <w:t>175</w:t>
      </w:r>
      <w:r>
        <w:rPr>
          <w:szCs w:val="23"/>
        </w:rPr>
        <w:t>,</w:t>
      </w:r>
      <w:r w:rsidRPr="00710CD2">
        <w:rPr>
          <w:szCs w:val="23"/>
        </w:rPr>
        <w:t>490</w:t>
      </w:r>
      <w:r>
        <w:rPr>
          <w:szCs w:val="23"/>
        </w:rPr>
        <w:t xml:space="preserve"> against a target of </w:t>
      </w:r>
      <w:r w:rsidRPr="00710CD2">
        <w:rPr>
          <w:szCs w:val="23"/>
        </w:rPr>
        <w:t>180</w:t>
      </w:r>
      <w:r>
        <w:rPr>
          <w:szCs w:val="23"/>
        </w:rPr>
        <w:t>,</w:t>
      </w:r>
      <w:r w:rsidRPr="00710CD2">
        <w:rPr>
          <w:szCs w:val="23"/>
        </w:rPr>
        <w:t>966</w:t>
      </w:r>
      <w:r w:rsidR="00D070EB">
        <w:rPr>
          <w:szCs w:val="23"/>
        </w:rPr>
        <w:t>.</w:t>
      </w:r>
    </w:p>
    <w:p w:rsidR="00710CD2" w:rsidP="00710CD2" w:rsidRDefault="00710CD2" w14:paraId="07139174" w14:textId="2F8350F5">
      <w:pPr>
        <w:pStyle w:val="Default"/>
        <w:numPr>
          <w:ilvl w:val="0"/>
          <w:numId w:val="38"/>
        </w:numPr>
        <w:rPr>
          <w:szCs w:val="23"/>
        </w:rPr>
      </w:pPr>
      <w:r>
        <w:rPr>
          <w:szCs w:val="23"/>
        </w:rPr>
        <w:t xml:space="preserve">Workington Leisure Centre usage – </w:t>
      </w:r>
      <w:r w:rsidRPr="00710CD2">
        <w:rPr>
          <w:szCs w:val="23"/>
        </w:rPr>
        <w:t>312</w:t>
      </w:r>
      <w:r>
        <w:rPr>
          <w:szCs w:val="23"/>
        </w:rPr>
        <w:t>,</w:t>
      </w:r>
      <w:r w:rsidRPr="00710CD2">
        <w:rPr>
          <w:szCs w:val="23"/>
        </w:rPr>
        <w:t>374</w:t>
      </w:r>
      <w:r>
        <w:rPr>
          <w:szCs w:val="23"/>
        </w:rPr>
        <w:t xml:space="preserve"> against a target </w:t>
      </w:r>
      <w:r w:rsidRPr="00710CD2">
        <w:rPr>
          <w:szCs w:val="23"/>
        </w:rPr>
        <w:t>321</w:t>
      </w:r>
      <w:r>
        <w:rPr>
          <w:szCs w:val="23"/>
        </w:rPr>
        <w:t>,</w:t>
      </w:r>
      <w:r w:rsidRPr="00710CD2">
        <w:rPr>
          <w:szCs w:val="23"/>
        </w:rPr>
        <w:t>509</w:t>
      </w:r>
      <w:r w:rsidR="00D070EB">
        <w:rPr>
          <w:szCs w:val="23"/>
        </w:rPr>
        <w:t>.</w:t>
      </w:r>
    </w:p>
    <w:p w:rsidR="00D070EB" w:rsidP="00D070EB" w:rsidRDefault="00D070EB" w14:paraId="5BC59E98" w14:textId="3F9A40FB">
      <w:pPr>
        <w:pStyle w:val="Default"/>
        <w:numPr>
          <w:ilvl w:val="0"/>
          <w:numId w:val="38"/>
        </w:numPr>
        <w:rPr>
          <w:szCs w:val="23"/>
        </w:rPr>
      </w:pPr>
      <w:r>
        <w:rPr>
          <w:szCs w:val="23"/>
        </w:rPr>
        <w:t>Proportion o</w:t>
      </w:r>
      <w:r w:rsidRPr="00D070EB">
        <w:rPr>
          <w:szCs w:val="23"/>
        </w:rPr>
        <w:t xml:space="preserve">f Disabled Facilities Grants approved within 10 weeks from receipt of referral to approval </w:t>
      </w:r>
      <w:r>
        <w:rPr>
          <w:szCs w:val="23"/>
        </w:rPr>
        <w:t xml:space="preserve">- </w:t>
      </w:r>
      <w:r w:rsidRPr="00D070EB">
        <w:rPr>
          <w:szCs w:val="23"/>
        </w:rPr>
        <w:t>77%</w:t>
      </w:r>
      <w:r>
        <w:rPr>
          <w:szCs w:val="23"/>
        </w:rPr>
        <w:t xml:space="preserve"> against a target of 85%.</w:t>
      </w:r>
    </w:p>
    <w:p w:rsidR="00D070EB" w:rsidP="00D070EB" w:rsidRDefault="00D070EB" w14:paraId="1BBBB527" w14:textId="2F1EBA35">
      <w:pPr>
        <w:pStyle w:val="Default"/>
        <w:numPr>
          <w:ilvl w:val="0"/>
          <w:numId w:val="38"/>
        </w:numPr>
        <w:rPr>
          <w:szCs w:val="23"/>
        </w:rPr>
      </w:pPr>
      <w:r>
        <w:rPr>
          <w:szCs w:val="23"/>
        </w:rPr>
        <w:t>Proportion of programmed water supply sampling carried out – 95% against a target of 100%.</w:t>
      </w:r>
    </w:p>
    <w:p w:rsidR="00D070EB" w:rsidP="00D070EB" w:rsidRDefault="00D070EB" w14:paraId="48DA432B" w14:textId="66A93C7F">
      <w:pPr>
        <w:pStyle w:val="Default"/>
        <w:numPr>
          <w:ilvl w:val="0"/>
          <w:numId w:val="38"/>
        </w:numPr>
        <w:rPr>
          <w:szCs w:val="23"/>
        </w:rPr>
      </w:pPr>
      <w:r>
        <w:rPr>
          <w:szCs w:val="23"/>
        </w:rPr>
        <w:t>Abandoned call rate – 8% against a target of 7%.</w:t>
      </w:r>
    </w:p>
    <w:p w:rsidR="00D070EB" w:rsidP="00D070EB" w:rsidRDefault="00D070EB" w14:paraId="0582CA3A" w14:textId="52670C29">
      <w:pPr>
        <w:pStyle w:val="Default"/>
        <w:numPr>
          <w:ilvl w:val="0"/>
          <w:numId w:val="38"/>
        </w:numPr>
        <w:rPr>
          <w:szCs w:val="23"/>
        </w:rPr>
      </w:pPr>
      <w:r>
        <w:rPr>
          <w:szCs w:val="23"/>
        </w:rPr>
        <w:t xml:space="preserve">Council tax collection rate - </w:t>
      </w:r>
      <w:r w:rsidRPr="00D070EB">
        <w:rPr>
          <w:szCs w:val="23"/>
        </w:rPr>
        <w:t>97.46%</w:t>
      </w:r>
      <w:r>
        <w:rPr>
          <w:szCs w:val="23"/>
        </w:rPr>
        <w:t xml:space="preserve"> against a target of </w:t>
      </w:r>
      <w:r w:rsidRPr="00D070EB">
        <w:rPr>
          <w:szCs w:val="23"/>
        </w:rPr>
        <w:t>97.8</w:t>
      </w:r>
      <w:r>
        <w:rPr>
          <w:szCs w:val="23"/>
        </w:rPr>
        <w:t>0</w:t>
      </w:r>
      <w:r w:rsidRPr="00D070EB">
        <w:rPr>
          <w:szCs w:val="23"/>
        </w:rPr>
        <w:t>%</w:t>
      </w:r>
    </w:p>
    <w:p w:rsidR="00D070EB" w:rsidP="00D070EB" w:rsidRDefault="00D070EB" w14:paraId="564A5A22" w14:textId="1E448D33">
      <w:pPr>
        <w:pStyle w:val="Default"/>
        <w:numPr>
          <w:ilvl w:val="0"/>
          <w:numId w:val="38"/>
        </w:numPr>
        <w:rPr>
          <w:szCs w:val="23"/>
        </w:rPr>
      </w:pPr>
      <w:r>
        <w:rPr>
          <w:szCs w:val="23"/>
        </w:rPr>
        <w:t xml:space="preserve">Proportion of invoices paid within 30 days of receipt - </w:t>
      </w:r>
      <w:r w:rsidRPr="00D070EB">
        <w:rPr>
          <w:szCs w:val="23"/>
        </w:rPr>
        <w:t>97.8%</w:t>
      </w:r>
      <w:r>
        <w:rPr>
          <w:szCs w:val="23"/>
        </w:rPr>
        <w:t xml:space="preserve"> against a target of 98.0%.</w:t>
      </w:r>
    </w:p>
    <w:p w:rsidR="00D070EB" w:rsidP="00D070EB" w:rsidRDefault="00D070EB" w14:paraId="46E9A037" w14:textId="3F49E9BE">
      <w:pPr>
        <w:pStyle w:val="Default"/>
        <w:numPr>
          <w:ilvl w:val="0"/>
          <w:numId w:val="38"/>
        </w:numPr>
        <w:rPr>
          <w:szCs w:val="23"/>
        </w:rPr>
      </w:pPr>
      <w:r>
        <w:rPr>
          <w:szCs w:val="23"/>
        </w:rPr>
        <w:t xml:space="preserve">Proportion of workforce with zero absence - </w:t>
      </w:r>
      <w:r w:rsidRPr="00D070EB">
        <w:rPr>
          <w:szCs w:val="23"/>
        </w:rPr>
        <w:t>89%</w:t>
      </w:r>
      <w:r>
        <w:rPr>
          <w:szCs w:val="23"/>
        </w:rPr>
        <w:t xml:space="preserve"> against a target of 90%.</w:t>
      </w:r>
    </w:p>
    <w:p w:rsidR="00E66AF6" w:rsidP="000116B7" w:rsidRDefault="00E66AF6" w14:paraId="6721B4C8" w14:textId="77777777">
      <w:pPr>
        <w:pStyle w:val="Default"/>
        <w:ind w:left="-426"/>
        <w:rPr>
          <w:szCs w:val="23"/>
        </w:rPr>
      </w:pPr>
    </w:p>
    <w:p w:rsidRPr="00A05C01" w:rsidR="00A05C01" w:rsidP="000116B7" w:rsidRDefault="00E66AF6" w14:paraId="7CB0F6A5" w14:textId="616B2971">
      <w:pPr>
        <w:pStyle w:val="Default"/>
        <w:ind w:left="-426"/>
        <w:rPr>
          <w:szCs w:val="23"/>
        </w:rPr>
      </w:pPr>
      <w:r>
        <w:rPr>
          <w:szCs w:val="23"/>
        </w:rPr>
        <w:t>T</w:t>
      </w:r>
      <w:r w:rsidRPr="00A05C01" w:rsidR="00A05C01">
        <w:rPr>
          <w:szCs w:val="23"/>
        </w:rPr>
        <w:t xml:space="preserve">he red </w:t>
      </w:r>
      <w:r w:rsidR="008B51FC">
        <w:rPr>
          <w:szCs w:val="23"/>
        </w:rPr>
        <w:t>KPIs</w:t>
      </w:r>
      <w:r w:rsidRPr="00A05C01" w:rsidR="00A05C01">
        <w:rPr>
          <w:szCs w:val="23"/>
        </w:rPr>
        <w:t xml:space="preserve"> are: </w:t>
      </w:r>
    </w:p>
    <w:p w:rsidR="008B51FC" w:rsidP="008B51FC" w:rsidRDefault="00A05C01" w14:paraId="10EB0B05" w14:textId="2D081CCF">
      <w:pPr>
        <w:pStyle w:val="Default"/>
        <w:numPr>
          <w:ilvl w:val="0"/>
          <w:numId w:val="38"/>
        </w:numPr>
        <w:rPr>
          <w:szCs w:val="23"/>
        </w:rPr>
      </w:pPr>
      <w:r w:rsidRPr="00A05C01">
        <w:rPr>
          <w:szCs w:val="23"/>
        </w:rPr>
        <w:t xml:space="preserve">Number of </w:t>
      </w:r>
      <w:r w:rsidR="008B51FC">
        <w:rPr>
          <w:szCs w:val="23"/>
        </w:rPr>
        <w:t>affordable homes facilitated by the Council – 79 against a target of 100.</w:t>
      </w:r>
    </w:p>
    <w:p w:rsidR="008B51FC" w:rsidP="008B51FC" w:rsidRDefault="008B51FC" w14:paraId="62243292" w14:textId="7B1271E5">
      <w:pPr>
        <w:pStyle w:val="Default"/>
        <w:numPr>
          <w:ilvl w:val="0"/>
          <w:numId w:val="38"/>
        </w:numPr>
        <w:rPr>
          <w:szCs w:val="23"/>
        </w:rPr>
      </w:pPr>
      <w:r>
        <w:rPr>
          <w:szCs w:val="23"/>
        </w:rPr>
        <w:t>Number of empty homes grants completed – 6 against a target of 10.</w:t>
      </w:r>
    </w:p>
    <w:p w:rsidR="008B51FC" w:rsidP="008B51FC" w:rsidRDefault="008B51FC" w14:paraId="1D920790" w14:textId="1367A9D6">
      <w:pPr>
        <w:pStyle w:val="Default"/>
        <w:numPr>
          <w:ilvl w:val="0"/>
          <w:numId w:val="38"/>
        </w:numPr>
        <w:rPr>
          <w:szCs w:val="23"/>
        </w:rPr>
      </w:pPr>
      <w:r>
        <w:rPr>
          <w:szCs w:val="23"/>
        </w:rPr>
        <w:t xml:space="preserve">Wave Centre </w:t>
      </w:r>
      <w:r w:rsidR="00D070EB">
        <w:rPr>
          <w:szCs w:val="23"/>
        </w:rPr>
        <w:t xml:space="preserve">usage </w:t>
      </w:r>
      <w:r>
        <w:rPr>
          <w:szCs w:val="23"/>
        </w:rPr>
        <w:t xml:space="preserve">– </w:t>
      </w:r>
      <w:r w:rsidRPr="008B51FC">
        <w:rPr>
          <w:szCs w:val="23"/>
        </w:rPr>
        <w:t>25</w:t>
      </w:r>
      <w:r>
        <w:rPr>
          <w:szCs w:val="23"/>
        </w:rPr>
        <w:t>,</w:t>
      </w:r>
      <w:r w:rsidRPr="008B51FC">
        <w:rPr>
          <w:szCs w:val="23"/>
        </w:rPr>
        <w:t>395</w:t>
      </w:r>
      <w:r>
        <w:rPr>
          <w:szCs w:val="23"/>
        </w:rPr>
        <w:t xml:space="preserve"> against a target of </w:t>
      </w:r>
      <w:r w:rsidRPr="008B51FC">
        <w:rPr>
          <w:szCs w:val="23"/>
        </w:rPr>
        <w:t>32</w:t>
      </w:r>
      <w:r>
        <w:rPr>
          <w:szCs w:val="23"/>
        </w:rPr>
        <w:t>,</w:t>
      </w:r>
      <w:r w:rsidRPr="008B51FC">
        <w:rPr>
          <w:szCs w:val="23"/>
        </w:rPr>
        <w:t>935</w:t>
      </w:r>
      <w:r>
        <w:rPr>
          <w:szCs w:val="23"/>
        </w:rPr>
        <w:t>.</w:t>
      </w:r>
      <w:r w:rsidRPr="008B51FC">
        <w:rPr>
          <w:szCs w:val="23"/>
        </w:rPr>
        <w:tab/>
      </w:r>
    </w:p>
    <w:p w:rsidR="008B51FC" w:rsidP="008B51FC" w:rsidRDefault="008B51FC" w14:paraId="761B223F" w14:textId="7F0E6A3E">
      <w:pPr>
        <w:pStyle w:val="Default"/>
        <w:numPr>
          <w:ilvl w:val="0"/>
          <w:numId w:val="38"/>
        </w:numPr>
        <w:rPr>
          <w:szCs w:val="23"/>
        </w:rPr>
      </w:pPr>
      <w:r>
        <w:rPr>
          <w:szCs w:val="23"/>
        </w:rPr>
        <w:t>Proportion o</w:t>
      </w:r>
      <w:r w:rsidRPr="008B51FC">
        <w:rPr>
          <w:szCs w:val="23"/>
        </w:rPr>
        <w:t>f food safety inspections carried out (Category A-B)</w:t>
      </w:r>
      <w:r>
        <w:rPr>
          <w:szCs w:val="23"/>
        </w:rPr>
        <w:t xml:space="preserve"> – 86% against a target of 100%.</w:t>
      </w:r>
    </w:p>
    <w:p w:rsidR="008B51FC" w:rsidP="008B51FC" w:rsidRDefault="008B51FC" w14:paraId="0E3A8C36" w14:textId="41A0732D">
      <w:pPr>
        <w:pStyle w:val="Default"/>
        <w:numPr>
          <w:ilvl w:val="0"/>
          <w:numId w:val="38"/>
        </w:numPr>
        <w:rPr>
          <w:szCs w:val="23"/>
        </w:rPr>
      </w:pPr>
      <w:r w:rsidRPr="008B51FC">
        <w:rPr>
          <w:szCs w:val="23"/>
        </w:rPr>
        <w:t xml:space="preserve">Average speed of answer (A.S.A) on calls to 03031231702 </w:t>
      </w:r>
      <w:r>
        <w:rPr>
          <w:szCs w:val="23"/>
        </w:rPr>
        <w:t>- 73 seconds against a target of 45.</w:t>
      </w:r>
    </w:p>
    <w:p w:rsidR="008B51FC" w:rsidP="008B51FC" w:rsidRDefault="008B51FC" w14:paraId="092EC9FF" w14:textId="353F3A87">
      <w:pPr>
        <w:pStyle w:val="Default"/>
        <w:numPr>
          <w:ilvl w:val="0"/>
          <w:numId w:val="38"/>
        </w:numPr>
        <w:rPr>
          <w:szCs w:val="23"/>
        </w:rPr>
      </w:pPr>
      <w:r w:rsidRPr="008B51FC">
        <w:rPr>
          <w:szCs w:val="23"/>
        </w:rPr>
        <w:t>Average n</w:t>
      </w:r>
      <w:r>
        <w:rPr>
          <w:szCs w:val="23"/>
        </w:rPr>
        <w:t>umber</w:t>
      </w:r>
      <w:r w:rsidRPr="008B51FC">
        <w:rPr>
          <w:szCs w:val="23"/>
        </w:rPr>
        <w:t xml:space="preserve"> of working days lost to sickness absence per employee per annum</w:t>
      </w:r>
      <w:r>
        <w:rPr>
          <w:szCs w:val="23"/>
        </w:rPr>
        <w:t xml:space="preserve"> – 12.5 against a target of 7 days.</w:t>
      </w:r>
    </w:p>
    <w:p w:rsidR="007000EC" w:rsidP="000116B7" w:rsidRDefault="007000EC" w14:paraId="1DA1B20E" w14:textId="77777777">
      <w:pPr>
        <w:spacing w:after="0" w:line="240" w:lineRule="auto"/>
        <w:ind w:left="-426" w:right="-810"/>
        <w:rPr>
          <w:rFonts w:ascii="Arial" w:hAnsi="Arial" w:cs="Arial"/>
          <w:sz w:val="24"/>
          <w:highlight w:val="yellow"/>
        </w:rPr>
      </w:pPr>
    </w:p>
    <w:p w:rsidRPr="007000EC" w:rsidR="00840F1B" w:rsidP="000116B7" w:rsidRDefault="007000EC" w14:paraId="5C7F9B7A" w14:textId="580F73BB">
      <w:pPr>
        <w:spacing w:after="0" w:line="240" w:lineRule="auto"/>
        <w:ind w:left="-426" w:right="-810"/>
        <w:rPr>
          <w:rFonts w:ascii="Arial" w:hAnsi="Arial" w:cs="Arial"/>
          <w:sz w:val="24"/>
        </w:rPr>
      </w:pPr>
      <w:r w:rsidRPr="007000EC">
        <w:rPr>
          <w:rFonts w:ascii="Arial" w:hAnsi="Arial" w:cs="Arial"/>
          <w:sz w:val="24"/>
        </w:rPr>
        <w:t>Details of actions/interventions being taken to address underperformance where KPIs are red are given under each priority heading</w:t>
      </w:r>
      <w:r>
        <w:rPr>
          <w:rFonts w:ascii="Arial" w:hAnsi="Arial" w:cs="Arial"/>
          <w:sz w:val="24"/>
        </w:rPr>
        <w:t xml:space="preserve"> and</w:t>
      </w:r>
      <w:r w:rsidRPr="007000EC">
        <w:rPr>
          <w:rFonts w:ascii="Arial" w:hAnsi="Arial" w:cs="Arial"/>
          <w:sz w:val="24"/>
        </w:rPr>
        <w:t xml:space="preserve"> in Appendix B</w:t>
      </w:r>
      <w:r>
        <w:rPr>
          <w:rFonts w:ascii="Arial" w:hAnsi="Arial" w:cs="Arial"/>
          <w:sz w:val="24"/>
        </w:rPr>
        <w:t>.</w:t>
      </w:r>
      <w:r w:rsidRPr="007000EC">
        <w:rPr>
          <w:rFonts w:ascii="Arial" w:hAnsi="Arial" w:cs="Arial"/>
          <w:sz w:val="24"/>
        </w:rPr>
        <w:t xml:space="preserve"> </w:t>
      </w:r>
    </w:p>
    <w:p w:rsidR="007000EC" w:rsidP="000116B7" w:rsidRDefault="007000EC" w14:paraId="1D3FFF4F" w14:textId="18EA53A7">
      <w:pPr>
        <w:spacing w:after="0" w:line="240" w:lineRule="auto"/>
        <w:ind w:left="-426" w:right="-810"/>
        <w:rPr>
          <w:rFonts w:ascii="Arial" w:hAnsi="Arial" w:cs="Arial"/>
          <w:b/>
          <w:sz w:val="26"/>
          <w:szCs w:val="26"/>
        </w:rPr>
      </w:pPr>
    </w:p>
    <w:p w:rsidR="007000EC" w:rsidP="000116B7" w:rsidRDefault="007000EC" w14:paraId="7097EDCE" w14:textId="77777777">
      <w:pPr>
        <w:spacing w:after="0" w:line="240" w:lineRule="auto"/>
        <w:ind w:left="-426" w:right="-810"/>
        <w:rPr>
          <w:rFonts w:ascii="Arial" w:hAnsi="Arial" w:cs="Arial"/>
          <w:b/>
          <w:sz w:val="26"/>
          <w:szCs w:val="26"/>
        </w:rPr>
      </w:pPr>
    </w:p>
    <w:p w:rsidRPr="00307DB6" w:rsidR="00B73572" w:rsidP="000116B7" w:rsidRDefault="00B73572" w14:paraId="672F59FB" w14:textId="6385C0BD">
      <w:pPr>
        <w:spacing w:after="0" w:line="240" w:lineRule="auto"/>
        <w:ind w:left="-426" w:right="-810"/>
        <w:rPr>
          <w:rFonts w:ascii="Arial" w:hAnsi="Arial" w:cs="Arial"/>
          <w:b/>
          <w:sz w:val="26"/>
          <w:szCs w:val="26"/>
        </w:rPr>
      </w:pPr>
      <w:r w:rsidRPr="00307DB6">
        <w:rPr>
          <w:rFonts w:ascii="Arial" w:hAnsi="Arial" w:cs="Arial"/>
          <w:b/>
          <w:sz w:val="26"/>
          <w:szCs w:val="26"/>
        </w:rPr>
        <w:t xml:space="preserve">Key Corporate Risks </w:t>
      </w:r>
      <w:r w:rsidRPr="00307DB6">
        <w:rPr>
          <w:rFonts w:ascii="Arial" w:hAnsi="Arial" w:cs="Arial"/>
          <w:sz w:val="26"/>
          <w:szCs w:val="26"/>
        </w:rPr>
        <w:t>(Appendix C)</w:t>
      </w:r>
    </w:p>
    <w:p w:rsidRPr="00307DB6" w:rsidR="007262A2" w:rsidP="000116B7" w:rsidRDefault="007262A2" w14:paraId="3341528E" w14:textId="77777777">
      <w:pPr>
        <w:spacing w:after="0" w:line="240" w:lineRule="auto"/>
        <w:ind w:left="-426" w:right="-810"/>
        <w:rPr>
          <w:rFonts w:ascii="Arial" w:hAnsi="Arial" w:cs="Arial"/>
          <w:sz w:val="24"/>
        </w:rPr>
      </w:pPr>
    </w:p>
    <w:p w:rsidRPr="00BC1AE8" w:rsidR="00B73572" w:rsidP="000116B7" w:rsidRDefault="00B73572" w14:paraId="14E141EF" w14:textId="7DC7FC5C">
      <w:pPr>
        <w:spacing w:after="0" w:line="240" w:lineRule="auto"/>
        <w:ind w:left="-426" w:right="-754"/>
        <w:rPr>
          <w:rFonts w:ascii="Arial" w:hAnsi="Arial" w:cs="Arial"/>
          <w:sz w:val="24"/>
          <w:szCs w:val="23"/>
        </w:rPr>
      </w:pPr>
      <w:r w:rsidRPr="00BC1AE8">
        <w:rPr>
          <w:rFonts w:ascii="Arial" w:hAnsi="Arial" w:cs="Arial"/>
          <w:sz w:val="24"/>
          <w:szCs w:val="23"/>
        </w:rPr>
        <w:t xml:space="preserve">All strategic risks identified are contained within the Corporate Risk and Issues Log. Key risks (those which score 9 and above) are included in this report.  There are currently </w:t>
      </w:r>
      <w:r w:rsidRPr="00BC1AE8" w:rsidR="00FF2276">
        <w:rPr>
          <w:rFonts w:ascii="Arial" w:hAnsi="Arial" w:cs="Arial"/>
          <w:sz w:val="24"/>
          <w:szCs w:val="23"/>
        </w:rPr>
        <w:t>1</w:t>
      </w:r>
      <w:r w:rsidR="00FD0662">
        <w:rPr>
          <w:rFonts w:ascii="Arial" w:hAnsi="Arial" w:cs="Arial"/>
          <w:sz w:val="24"/>
          <w:szCs w:val="23"/>
        </w:rPr>
        <w:t>5</w:t>
      </w:r>
      <w:r w:rsidRPr="00BC1AE8" w:rsidR="00FF2276">
        <w:rPr>
          <w:rFonts w:ascii="Arial" w:hAnsi="Arial" w:cs="Arial"/>
          <w:sz w:val="24"/>
          <w:szCs w:val="23"/>
        </w:rPr>
        <w:t xml:space="preserve"> </w:t>
      </w:r>
      <w:r w:rsidRPr="00BC1AE8">
        <w:rPr>
          <w:rFonts w:ascii="Arial" w:hAnsi="Arial" w:cs="Arial"/>
          <w:sz w:val="24"/>
          <w:szCs w:val="23"/>
        </w:rPr>
        <w:t>key risks which have been reviewed by the</w:t>
      </w:r>
      <w:r w:rsidRPr="00BC1AE8" w:rsidR="00BE7906">
        <w:rPr>
          <w:rFonts w:ascii="Arial" w:hAnsi="Arial" w:cs="Arial"/>
          <w:sz w:val="24"/>
          <w:szCs w:val="23"/>
        </w:rPr>
        <w:t xml:space="preserve"> S</w:t>
      </w:r>
      <w:r w:rsidRPr="00BC1AE8" w:rsidR="000117C6">
        <w:rPr>
          <w:rFonts w:ascii="Arial" w:hAnsi="Arial" w:cs="Arial"/>
          <w:sz w:val="24"/>
          <w:szCs w:val="23"/>
        </w:rPr>
        <w:t>enior Management Team.</w:t>
      </w:r>
      <w:r w:rsidRPr="00BC1AE8">
        <w:rPr>
          <w:rFonts w:ascii="Arial" w:hAnsi="Arial" w:cs="Arial"/>
          <w:sz w:val="24"/>
          <w:szCs w:val="23"/>
        </w:rPr>
        <w:t xml:space="preserve"> The current Key Risks Report </w:t>
      </w:r>
      <w:r w:rsidRPr="00BC1AE8" w:rsidR="000117C6">
        <w:rPr>
          <w:rFonts w:ascii="Arial" w:hAnsi="Arial" w:cs="Arial"/>
          <w:sz w:val="24"/>
          <w:szCs w:val="23"/>
        </w:rPr>
        <w:t xml:space="preserve">setting out mitigating actions </w:t>
      </w:r>
      <w:r w:rsidRPr="00BC1AE8">
        <w:rPr>
          <w:rFonts w:ascii="Arial" w:hAnsi="Arial" w:cs="Arial"/>
          <w:sz w:val="24"/>
          <w:szCs w:val="23"/>
        </w:rPr>
        <w:t xml:space="preserve">can be found in Appendix </w:t>
      </w:r>
      <w:r w:rsidRPr="00BC1AE8" w:rsidR="000117C6">
        <w:rPr>
          <w:rFonts w:ascii="Arial" w:hAnsi="Arial" w:cs="Arial"/>
          <w:sz w:val="24"/>
          <w:szCs w:val="23"/>
        </w:rPr>
        <w:t xml:space="preserve">C </w:t>
      </w:r>
      <w:r w:rsidRPr="00BC1AE8">
        <w:rPr>
          <w:rFonts w:ascii="Arial" w:hAnsi="Arial" w:cs="Arial"/>
          <w:sz w:val="24"/>
          <w:szCs w:val="23"/>
        </w:rPr>
        <w:t>to this report.</w:t>
      </w:r>
    </w:p>
    <w:p w:rsidR="000117C6" w:rsidP="000116B7" w:rsidRDefault="000117C6" w14:paraId="6FD4B3D9" w14:textId="62E01A80">
      <w:pPr>
        <w:spacing w:after="0" w:line="240" w:lineRule="auto"/>
        <w:ind w:left="-426" w:right="-754"/>
        <w:rPr>
          <w:rFonts w:ascii="Arial" w:hAnsi="Arial" w:cs="Arial"/>
          <w:sz w:val="24"/>
        </w:rPr>
      </w:pPr>
    </w:p>
    <w:p w:rsidR="007000EC" w:rsidP="000116B7" w:rsidRDefault="007000EC" w14:paraId="4A659636" w14:textId="77777777">
      <w:pPr>
        <w:spacing w:after="0" w:line="240" w:lineRule="auto"/>
        <w:ind w:left="-426" w:right="-754"/>
        <w:rPr>
          <w:rFonts w:ascii="Arial" w:hAnsi="Arial" w:cs="Arial"/>
          <w:sz w:val="24"/>
        </w:rPr>
      </w:pPr>
    </w:p>
    <w:p w:rsidR="008A12C2" w:rsidP="000116B7" w:rsidRDefault="008A12C2" w14:paraId="773657E7" w14:textId="5DAE05C7">
      <w:pPr>
        <w:spacing w:after="0" w:line="240" w:lineRule="auto"/>
        <w:ind w:left="-426" w:right="-754"/>
        <w:rPr>
          <w:rFonts w:ascii="Arial" w:hAnsi="Arial" w:cs="Arial"/>
          <w:sz w:val="24"/>
        </w:rPr>
      </w:pPr>
    </w:p>
    <w:p w:rsidRPr="007A4EF6" w:rsidR="007A4EF6" w:rsidP="000116B7" w:rsidRDefault="007A4EF6" w14:paraId="07E3CA90" w14:textId="77777777">
      <w:pPr>
        <w:spacing w:after="0" w:line="240" w:lineRule="auto"/>
        <w:ind w:left="-426" w:right="-754"/>
        <w:rPr>
          <w:rFonts w:ascii="Arial" w:hAnsi="Arial" w:cs="Arial"/>
          <w:sz w:val="26"/>
          <w:szCs w:val="26"/>
        </w:rPr>
      </w:pPr>
      <w:r w:rsidRPr="007A4EF6">
        <w:rPr>
          <w:rFonts w:ascii="Arial" w:hAnsi="Arial" w:cs="Arial"/>
          <w:b/>
          <w:sz w:val="26"/>
          <w:szCs w:val="26"/>
        </w:rPr>
        <w:lastRenderedPageBreak/>
        <w:t>Outcome measures</w:t>
      </w:r>
      <w:r w:rsidRPr="007A4EF6">
        <w:rPr>
          <w:rFonts w:ascii="Arial" w:hAnsi="Arial" w:cs="Arial"/>
          <w:sz w:val="26"/>
          <w:szCs w:val="26"/>
        </w:rPr>
        <w:t xml:space="preserve"> (Appendix D) </w:t>
      </w:r>
    </w:p>
    <w:p w:rsidRPr="007A4EF6" w:rsidR="007A4EF6" w:rsidP="000116B7" w:rsidRDefault="007A4EF6" w14:paraId="203BA688" w14:textId="77777777">
      <w:pPr>
        <w:spacing w:after="0" w:line="240" w:lineRule="auto"/>
        <w:ind w:left="-426" w:right="-754"/>
        <w:rPr>
          <w:rFonts w:ascii="Arial" w:hAnsi="Arial" w:cs="Arial"/>
          <w:sz w:val="24"/>
        </w:rPr>
      </w:pPr>
    </w:p>
    <w:p w:rsidRPr="00BC1AE8" w:rsidR="007A4EF6" w:rsidP="000116B7" w:rsidRDefault="007A4EF6" w14:paraId="782078B5" w14:textId="2B707D55">
      <w:pPr>
        <w:spacing w:after="0" w:line="240" w:lineRule="auto"/>
        <w:ind w:left="-426" w:right="-754"/>
        <w:rPr>
          <w:rFonts w:ascii="Arial" w:hAnsi="Arial" w:cs="Arial"/>
          <w:sz w:val="24"/>
          <w:szCs w:val="23"/>
        </w:rPr>
      </w:pPr>
      <w:r w:rsidRPr="00BC1AE8">
        <w:rPr>
          <w:rFonts w:ascii="Arial" w:hAnsi="Arial" w:cs="Arial"/>
          <w:sz w:val="24"/>
          <w:szCs w:val="23"/>
        </w:rPr>
        <w:t>The outcome measures set out in the Business Plan are reported in Quarters 2 and 4 as data for many of these measures is only produced once a year. These are mainly wider contextual measures, such as health or employment figures published by other organisations.  Our work will have an influence on these, but they are not directly related to our service provision and so they are not attributed with a RAG rating.  Monitoring these outcome measures will give us an indication as to whether our efforts are contributing to the improvement in outcomes for our communities that we are aiming to achieve under the priority themes that we have set out in the Council Plan.</w:t>
      </w:r>
    </w:p>
    <w:p w:rsidRPr="00BC1AE8" w:rsidR="00D20826" w:rsidP="000116B7" w:rsidRDefault="00D20826" w14:paraId="795265DE" w14:textId="140EF34C">
      <w:pPr>
        <w:pStyle w:val="FootnoteText"/>
        <w:ind w:left="-426" w:right="-754"/>
        <w:rPr>
          <w:rFonts w:ascii="Arial" w:hAnsi="Arial" w:cs="Arial"/>
          <w:sz w:val="28"/>
          <w:szCs w:val="24"/>
        </w:rPr>
      </w:pPr>
    </w:p>
    <w:p w:rsidRPr="00D20826" w:rsidR="00D20826" w:rsidP="000116B7" w:rsidRDefault="00D20826" w14:paraId="600DB1A5" w14:textId="77777777">
      <w:pPr>
        <w:pStyle w:val="FootnoteText"/>
        <w:ind w:left="-426" w:right="-754"/>
        <w:rPr>
          <w:rFonts w:ascii="Arial" w:hAnsi="Arial" w:cs="Arial"/>
          <w:sz w:val="24"/>
          <w:szCs w:val="24"/>
        </w:rPr>
      </w:pPr>
    </w:p>
    <w:p w:rsidR="000117C6" w:rsidP="000116B7" w:rsidRDefault="000117C6" w14:paraId="5E5B7100" w14:textId="0FE5CED1">
      <w:pPr>
        <w:spacing w:after="0" w:line="240" w:lineRule="auto"/>
        <w:ind w:left="-426" w:right="-810"/>
        <w:rPr>
          <w:rFonts w:ascii="Arial" w:hAnsi="Arial" w:cs="Arial"/>
          <w:sz w:val="24"/>
        </w:rPr>
      </w:pPr>
    </w:p>
    <w:p w:rsidR="00A7510B" w:rsidP="000116B7" w:rsidRDefault="007D3C37" w14:paraId="0B6B778C" w14:textId="383464C8">
      <w:pPr>
        <w:spacing w:after="0" w:line="240" w:lineRule="auto"/>
        <w:ind w:left="-426" w:right="-810"/>
        <w:rPr>
          <w:rFonts w:ascii="Arial" w:hAnsi="Arial" w:cs="Arial"/>
          <w:b/>
          <w:i/>
          <w:sz w:val="24"/>
        </w:rPr>
      </w:pPr>
      <w:r w:rsidRPr="000117C6">
        <w:rPr>
          <w:rFonts w:ascii="Arial" w:hAnsi="Arial" w:cs="Arial"/>
          <w:b/>
          <w:i/>
          <w:sz w:val="24"/>
        </w:rPr>
        <w:t xml:space="preserve">The information in this report </w:t>
      </w:r>
      <w:r w:rsidR="00844AB7">
        <w:rPr>
          <w:rFonts w:ascii="Arial" w:hAnsi="Arial" w:cs="Arial"/>
          <w:b/>
          <w:i/>
          <w:sz w:val="24"/>
        </w:rPr>
        <w:t xml:space="preserve">relates to activity to the end of </w:t>
      </w:r>
      <w:r w:rsidR="00662A3C">
        <w:rPr>
          <w:rFonts w:ascii="Arial" w:hAnsi="Arial" w:cs="Arial"/>
          <w:b/>
          <w:i/>
          <w:sz w:val="24"/>
        </w:rPr>
        <w:t>March 2019</w:t>
      </w:r>
      <w:r w:rsidR="00844AB7">
        <w:rPr>
          <w:rFonts w:ascii="Arial" w:hAnsi="Arial" w:cs="Arial"/>
          <w:b/>
          <w:i/>
          <w:sz w:val="24"/>
        </w:rPr>
        <w:t>.</w:t>
      </w:r>
    </w:p>
    <w:p w:rsidR="00C564E3" w:rsidP="000117C6" w:rsidRDefault="00C564E3" w14:paraId="3CF3CC61" w14:textId="2CE940E6">
      <w:pPr>
        <w:spacing w:after="0" w:line="240" w:lineRule="auto"/>
        <w:ind w:left="-360" w:right="-810"/>
        <w:rPr>
          <w:rFonts w:ascii="Arial" w:hAnsi="Arial" w:cs="Arial"/>
          <w:sz w:val="24"/>
        </w:rPr>
      </w:pPr>
      <w:r>
        <w:rPr>
          <w:rFonts w:ascii="Arial" w:hAnsi="Arial" w:cs="Arial"/>
          <w:sz w:val="24"/>
        </w:rPr>
        <w:br w:type="page"/>
      </w:r>
    </w:p>
    <w:p w:rsidRPr="00C564E3" w:rsidR="007D3C37" w:rsidP="009C67F5" w:rsidRDefault="007D3C37" w14:paraId="2AE63A1D" w14:textId="573930EE">
      <w:pPr>
        <w:spacing w:after="80" w:line="240" w:lineRule="auto"/>
        <w:ind w:left="-357" w:right="-805"/>
        <w:rPr>
          <w:rFonts w:ascii="Arial" w:hAnsi="Arial" w:cs="Arial"/>
          <w:b/>
          <w:color w:val="4472C4" w:themeColor="accent5"/>
          <w:sz w:val="44"/>
          <w:szCs w:val="44"/>
        </w:rPr>
      </w:pPr>
      <w:r w:rsidRPr="00C564E3">
        <w:rPr>
          <w:rFonts w:ascii="Arial" w:hAnsi="Arial" w:cs="Arial"/>
          <w:b/>
          <w:color w:val="4472C4" w:themeColor="accent5"/>
          <w:sz w:val="44"/>
          <w:szCs w:val="44"/>
        </w:rPr>
        <w:lastRenderedPageBreak/>
        <w:t xml:space="preserve">Strengthening our economy summary </w:t>
      </w:r>
    </w:p>
    <w:p w:rsidRPr="00BD4BA4" w:rsidR="007D3C37" w:rsidP="00BD4BA4" w:rsidRDefault="007D3C37" w14:paraId="52796F78" w14:textId="7E94CEAF">
      <w:pPr>
        <w:spacing w:after="0" w:line="240" w:lineRule="auto"/>
        <w:ind w:left="-357" w:right="-811"/>
        <w:rPr>
          <w:rFonts w:ascii="Segoe Print" w:hAnsi="Segoe Print" w:cs="Arial"/>
          <w:color w:val="1F4E79" w:themeColor="accent1" w:themeShade="80"/>
          <w:sz w:val="24"/>
          <w:szCs w:val="26"/>
        </w:rPr>
      </w:pPr>
      <w:r w:rsidRPr="00BD4BA4">
        <w:rPr>
          <w:rFonts w:ascii="Segoe Print" w:hAnsi="Segoe Print" w:cs="Arial"/>
          <w:color w:val="1F4E79" w:themeColor="accent1" w:themeShade="80"/>
          <w:sz w:val="24"/>
          <w:szCs w:val="26"/>
        </w:rPr>
        <w:t>We aim to create a strong, sustainable and vibrant local economy and create jobs</w:t>
      </w:r>
    </w:p>
    <w:p w:rsidRPr="00573C5D" w:rsidR="00D54A76" w:rsidP="00D54A76" w:rsidRDefault="00D54A76" w14:paraId="083EC72B" w14:textId="77777777">
      <w:pPr>
        <w:spacing w:after="0" w:line="240" w:lineRule="auto"/>
        <w:ind w:left="-360" w:right="-806"/>
        <w:rPr>
          <w:rFonts w:ascii="Arial" w:hAnsi="Arial" w:cs="Arial"/>
          <w:sz w:val="28"/>
          <w:szCs w:val="24"/>
        </w:rPr>
      </w:pPr>
    </w:p>
    <w:tbl>
      <w:tblPr>
        <w:tblStyle w:val="TableGrid"/>
        <w:tblW w:w="9955" w:type="dxa"/>
        <w:tblInd w:w="-360" w:type="dxa"/>
        <w:tblLook w:val="04A0" w:firstRow="1" w:lastRow="0" w:firstColumn="1" w:lastColumn="0" w:noHBand="0" w:noVBand="1"/>
      </w:tblPr>
      <w:tblGrid>
        <w:gridCol w:w="3616"/>
        <w:gridCol w:w="1027"/>
        <w:gridCol w:w="990"/>
        <w:gridCol w:w="1085"/>
        <w:gridCol w:w="1064"/>
        <w:gridCol w:w="1010"/>
        <w:gridCol w:w="1163"/>
      </w:tblGrid>
      <w:tr w:rsidRPr="00B80396" w:rsidR="00555156" w:rsidTr="00555156" w14:paraId="765AD7F8" w14:textId="7146DD72">
        <w:tc>
          <w:tcPr>
            <w:tcW w:w="3616" w:type="dxa"/>
          </w:tcPr>
          <w:p w:rsidRPr="00555156" w:rsidR="00555156" w:rsidP="008B6466" w:rsidRDefault="00555156" w14:paraId="6B6B768A" w14:textId="3A737634">
            <w:pPr>
              <w:ind w:right="-33"/>
              <w:rPr>
                <w:rFonts w:ascii="Arial" w:hAnsi="Arial" w:cs="Arial"/>
                <w:b/>
              </w:rPr>
            </w:pPr>
            <w:r w:rsidRPr="00555156">
              <w:rPr>
                <w:rFonts w:ascii="Arial" w:hAnsi="Arial" w:cs="Arial"/>
                <w:b/>
              </w:rPr>
              <w:t>Summary of Quarter</w:t>
            </w:r>
            <w:r w:rsidR="0090123D">
              <w:rPr>
                <w:rFonts w:ascii="Arial" w:hAnsi="Arial" w:cs="Arial"/>
                <w:b/>
              </w:rPr>
              <w:t xml:space="preserve"> </w:t>
            </w:r>
            <w:r w:rsidR="008B6466">
              <w:rPr>
                <w:rFonts w:ascii="Arial" w:hAnsi="Arial" w:cs="Arial"/>
                <w:b/>
              </w:rPr>
              <w:t>4</w:t>
            </w:r>
            <w:r w:rsidRPr="00555156">
              <w:rPr>
                <w:rFonts w:ascii="Arial" w:hAnsi="Arial" w:cs="Arial"/>
                <w:b/>
              </w:rPr>
              <w:t xml:space="preserve"> position</w:t>
            </w:r>
          </w:p>
        </w:tc>
        <w:tc>
          <w:tcPr>
            <w:tcW w:w="1027" w:type="dxa"/>
          </w:tcPr>
          <w:p w:rsidRPr="00555156" w:rsidR="00555156" w:rsidP="005E37BF" w:rsidRDefault="00555156" w14:paraId="14AF75A3" w14:textId="77777777">
            <w:pPr>
              <w:ind w:right="-18"/>
              <w:jc w:val="center"/>
              <w:rPr>
                <w:rFonts w:ascii="Arial" w:hAnsi="Arial" w:cs="Arial"/>
                <w:b/>
              </w:rPr>
            </w:pPr>
            <w:r w:rsidRPr="00555156">
              <w:rPr>
                <w:rFonts w:ascii="Arial" w:hAnsi="Arial" w:cs="Arial"/>
                <w:b/>
              </w:rPr>
              <w:t>Total</w:t>
            </w:r>
          </w:p>
        </w:tc>
        <w:tc>
          <w:tcPr>
            <w:tcW w:w="990" w:type="dxa"/>
            <w:shd w:val="clear" w:color="auto" w:fill="C00000"/>
          </w:tcPr>
          <w:p w:rsidRPr="00555156" w:rsidR="00555156" w:rsidP="005E37BF" w:rsidRDefault="00555156" w14:paraId="2A40981A" w14:textId="77777777">
            <w:pPr>
              <w:ind w:right="-18"/>
              <w:jc w:val="center"/>
              <w:rPr>
                <w:rFonts w:ascii="Arial" w:hAnsi="Arial" w:cs="Arial"/>
                <w:b/>
              </w:rPr>
            </w:pPr>
            <w:r w:rsidRPr="00555156">
              <w:rPr>
                <w:rFonts w:ascii="Arial" w:hAnsi="Arial" w:cs="Arial"/>
                <w:b/>
                <w:color w:val="000000" w:themeColor="text1"/>
              </w:rPr>
              <w:t>Red</w:t>
            </w:r>
          </w:p>
        </w:tc>
        <w:tc>
          <w:tcPr>
            <w:tcW w:w="1085" w:type="dxa"/>
            <w:shd w:val="clear" w:color="auto" w:fill="FFC000"/>
          </w:tcPr>
          <w:p w:rsidRPr="00555156" w:rsidR="00555156" w:rsidP="005E37BF" w:rsidRDefault="00555156" w14:paraId="0B17E588" w14:textId="77777777">
            <w:pPr>
              <w:jc w:val="center"/>
              <w:rPr>
                <w:rFonts w:ascii="Arial" w:hAnsi="Arial" w:cs="Arial"/>
                <w:b/>
              </w:rPr>
            </w:pPr>
            <w:r w:rsidRPr="00555156">
              <w:rPr>
                <w:rFonts w:ascii="Arial" w:hAnsi="Arial" w:cs="Arial"/>
                <w:b/>
              </w:rPr>
              <w:t>Amber</w:t>
            </w:r>
          </w:p>
        </w:tc>
        <w:tc>
          <w:tcPr>
            <w:tcW w:w="1064" w:type="dxa"/>
            <w:shd w:val="clear" w:color="auto" w:fill="00B050"/>
          </w:tcPr>
          <w:p w:rsidRPr="00555156" w:rsidR="00555156" w:rsidP="005E37BF" w:rsidRDefault="00555156" w14:paraId="2ECD3BD8" w14:textId="77777777">
            <w:pPr>
              <w:ind w:right="-18"/>
              <w:jc w:val="center"/>
              <w:rPr>
                <w:rFonts w:ascii="Arial" w:hAnsi="Arial" w:cs="Arial"/>
                <w:b/>
              </w:rPr>
            </w:pPr>
            <w:r w:rsidRPr="00555156">
              <w:rPr>
                <w:rFonts w:ascii="Arial" w:hAnsi="Arial" w:cs="Arial"/>
                <w:b/>
              </w:rPr>
              <w:t>Green</w:t>
            </w:r>
          </w:p>
        </w:tc>
        <w:tc>
          <w:tcPr>
            <w:tcW w:w="1010" w:type="dxa"/>
            <w:shd w:val="clear" w:color="auto" w:fill="0070C0"/>
          </w:tcPr>
          <w:p w:rsidRPr="00555156" w:rsidR="00555156" w:rsidP="005E37BF" w:rsidRDefault="00555156" w14:paraId="127D921B" w14:textId="77777777">
            <w:pPr>
              <w:ind w:right="-18"/>
              <w:jc w:val="center"/>
              <w:rPr>
                <w:rFonts w:ascii="Arial" w:hAnsi="Arial" w:cs="Arial"/>
                <w:b/>
              </w:rPr>
            </w:pPr>
            <w:r w:rsidRPr="00555156">
              <w:rPr>
                <w:rFonts w:ascii="Arial" w:hAnsi="Arial" w:cs="Arial"/>
                <w:b/>
              </w:rPr>
              <w:t>Blue</w:t>
            </w:r>
          </w:p>
        </w:tc>
        <w:tc>
          <w:tcPr>
            <w:tcW w:w="1163" w:type="dxa"/>
            <w:shd w:val="clear" w:color="auto" w:fill="A6A6A6" w:themeFill="background1" w:themeFillShade="A6"/>
          </w:tcPr>
          <w:p w:rsidRPr="00555156" w:rsidR="00555156" w:rsidP="005E37BF" w:rsidRDefault="00555156" w14:paraId="46AA3FAC" w14:textId="758DE81B">
            <w:pPr>
              <w:ind w:right="-18"/>
              <w:jc w:val="center"/>
              <w:rPr>
                <w:rFonts w:ascii="Arial" w:hAnsi="Arial" w:cs="Arial"/>
                <w:b/>
              </w:rPr>
            </w:pPr>
            <w:r w:rsidRPr="00555156">
              <w:rPr>
                <w:rFonts w:ascii="Arial" w:hAnsi="Arial" w:cs="Arial"/>
                <w:b/>
              </w:rPr>
              <w:t>Not targeted</w:t>
            </w:r>
          </w:p>
        </w:tc>
      </w:tr>
      <w:tr w:rsidR="00555156" w:rsidTr="00555156" w14:paraId="60138C06" w14:textId="4015F4BA">
        <w:tc>
          <w:tcPr>
            <w:tcW w:w="3616" w:type="dxa"/>
          </w:tcPr>
          <w:p w:rsidRPr="00555156" w:rsidR="00555156" w:rsidP="005E37BF" w:rsidRDefault="00555156" w14:paraId="161C2DD9" w14:textId="77777777">
            <w:pPr>
              <w:ind w:right="-18"/>
              <w:rPr>
                <w:rFonts w:ascii="Arial" w:hAnsi="Arial" w:cs="Arial"/>
              </w:rPr>
            </w:pPr>
            <w:r w:rsidRPr="00555156">
              <w:rPr>
                <w:rFonts w:ascii="Arial" w:hAnsi="Arial" w:cs="Arial"/>
              </w:rPr>
              <w:t>Projects/activities</w:t>
            </w:r>
          </w:p>
        </w:tc>
        <w:tc>
          <w:tcPr>
            <w:tcW w:w="1027" w:type="dxa"/>
          </w:tcPr>
          <w:p w:rsidRPr="00EB2C1B" w:rsidR="00555156" w:rsidP="005E37BF" w:rsidRDefault="00545ADC" w14:paraId="52178EE9" w14:textId="5D247BD9">
            <w:pPr>
              <w:jc w:val="center"/>
              <w:rPr>
                <w:rFonts w:ascii="Arial" w:hAnsi="Arial" w:cs="Arial"/>
                <w:highlight w:val="yellow"/>
              </w:rPr>
            </w:pPr>
            <w:r w:rsidRPr="00F75EEF">
              <w:rPr>
                <w:rFonts w:ascii="Arial" w:hAnsi="Arial" w:cs="Arial"/>
              </w:rPr>
              <w:t>9</w:t>
            </w:r>
          </w:p>
        </w:tc>
        <w:tc>
          <w:tcPr>
            <w:tcW w:w="990" w:type="dxa"/>
            <w:shd w:val="clear" w:color="auto" w:fill="C00000"/>
          </w:tcPr>
          <w:p w:rsidRPr="00A83E7E" w:rsidR="00555156" w:rsidP="005E37BF" w:rsidRDefault="00785F35" w14:paraId="6CD25982" w14:textId="5F13033F">
            <w:pPr>
              <w:ind w:right="-18"/>
              <w:jc w:val="center"/>
              <w:rPr>
                <w:rFonts w:ascii="Arial" w:hAnsi="Arial" w:cs="Arial"/>
              </w:rPr>
            </w:pPr>
            <w:r>
              <w:rPr>
                <w:rFonts w:ascii="Arial" w:hAnsi="Arial" w:cs="Arial"/>
              </w:rPr>
              <w:t>0</w:t>
            </w:r>
          </w:p>
        </w:tc>
        <w:tc>
          <w:tcPr>
            <w:tcW w:w="1085" w:type="dxa"/>
            <w:shd w:val="clear" w:color="auto" w:fill="FFC000"/>
          </w:tcPr>
          <w:p w:rsidRPr="00785F35" w:rsidR="00555156" w:rsidP="005E37BF" w:rsidRDefault="00785F35" w14:paraId="5CC0BA66" w14:textId="4E02A2D9">
            <w:pPr>
              <w:ind w:right="-108"/>
              <w:jc w:val="center"/>
              <w:rPr>
                <w:rFonts w:ascii="Arial" w:hAnsi="Arial" w:cs="Arial"/>
              </w:rPr>
            </w:pPr>
            <w:r w:rsidRPr="00785F35">
              <w:rPr>
                <w:rFonts w:ascii="Arial" w:hAnsi="Arial" w:cs="Arial"/>
              </w:rPr>
              <w:t>2</w:t>
            </w:r>
          </w:p>
        </w:tc>
        <w:tc>
          <w:tcPr>
            <w:tcW w:w="1064" w:type="dxa"/>
            <w:shd w:val="clear" w:color="auto" w:fill="00B050"/>
          </w:tcPr>
          <w:p w:rsidRPr="00785F35" w:rsidR="00555156" w:rsidP="005E37BF" w:rsidRDefault="00FF4138" w14:paraId="68BBC3BA" w14:textId="66E5C1AA">
            <w:pPr>
              <w:ind w:right="-18"/>
              <w:jc w:val="center"/>
              <w:rPr>
                <w:rFonts w:ascii="Arial" w:hAnsi="Arial" w:cs="Arial"/>
              </w:rPr>
            </w:pPr>
            <w:r>
              <w:rPr>
                <w:rFonts w:ascii="Arial" w:hAnsi="Arial" w:cs="Arial"/>
              </w:rPr>
              <w:t>5</w:t>
            </w:r>
          </w:p>
        </w:tc>
        <w:tc>
          <w:tcPr>
            <w:tcW w:w="1010" w:type="dxa"/>
            <w:shd w:val="clear" w:color="auto" w:fill="0070C0"/>
          </w:tcPr>
          <w:p w:rsidRPr="00A83E7E" w:rsidR="00555156" w:rsidP="005E37BF" w:rsidRDefault="00FF4138" w14:paraId="0650AD43" w14:textId="33781396">
            <w:pPr>
              <w:ind w:right="-18"/>
              <w:jc w:val="center"/>
              <w:rPr>
                <w:rFonts w:ascii="Arial" w:hAnsi="Arial" w:cs="Arial"/>
              </w:rPr>
            </w:pPr>
            <w:r>
              <w:rPr>
                <w:rFonts w:ascii="Arial" w:hAnsi="Arial" w:cs="Arial"/>
              </w:rPr>
              <w:t>2</w:t>
            </w:r>
          </w:p>
        </w:tc>
        <w:tc>
          <w:tcPr>
            <w:tcW w:w="1163" w:type="dxa"/>
            <w:shd w:val="clear" w:color="auto" w:fill="A6A6A6" w:themeFill="background1" w:themeFillShade="A6"/>
          </w:tcPr>
          <w:p w:rsidRPr="0090123D" w:rsidR="00555156" w:rsidP="005E37BF" w:rsidRDefault="00555156" w14:paraId="255A4CB4" w14:textId="01B670F1">
            <w:pPr>
              <w:ind w:right="-18"/>
              <w:jc w:val="center"/>
              <w:rPr>
                <w:rFonts w:ascii="Arial" w:hAnsi="Arial" w:cs="Arial"/>
              </w:rPr>
            </w:pPr>
            <w:r w:rsidRPr="0090123D">
              <w:rPr>
                <w:rFonts w:ascii="Arial" w:hAnsi="Arial" w:cs="Arial"/>
              </w:rPr>
              <w:t>-</w:t>
            </w:r>
          </w:p>
        </w:tc>
      </w:tr>
      <w:tr w:rsidR="00555156" w:rsidTr="00555156" w14:paraId="6FC4C69F" w14:textId="33FC396F">
        <w:tc>
          <w:tcPr>
            <w:tcW w:w="3616" w:type="dxa"/>
          </w:tcPr>
          <w:p w:rsidRPr="00555156" w:rsidR="00555156" w:rsidP="005E37BF" w:rsidRDefault="00555156" w14:paraId="68EFB438" w14:textId="6F9E7195">
            <w:pPr>
              <w:ind w:right="-18"/>
              <w:rPr>
                <w:rFonts w:ascii="Arial" w:hAnsi="Arial" w:cs="Arial"/>
              </w:rPr>
            </w:pPr>
            <w:r w:rsidRPr="00555156">
              <w:rPr>
                <w:rFonts w:ascii="Arial" w:hAnsi="Arial" w:cs="Arial"/>
              </w:rPr>
              <w:t>KPIs</w:t>
            </w:r>
            <w:r w:rsidR="00E6209F">
              <w:rPr>
                <w:rFonts w:ascii="Arial" w:hAnsi="Arial" w:cs="Arial"/>
              </w:rPr>
              <w:t xml:space="preserve"> (Q4 value)</w:t>
            </w:r>
          </w:p>
        </w:tc>
        <w:tc>
          <w:tcPr>
            <w:tcW w:w="1027" w:type="dxa"/>
          </w:tcPr>
          <w:p w:rsidRPr="00F75EEF" w:rsidR="00555156" w:rsidP="00555156" w:rsidRDefault="005F773A" w14:paraId="4EE1B3B7" w14:textId="315526D8">
            <w:pPr>
              <w:jc w:val="center"/>
              <w:rPr>
                <w:rFonts w:ascii="Arial" w:hAnsi="Arial" w:cs="Arial"/>
                <w:highlight w:val="yellow"/>
              </w:rPr>
            </w:pPr>
            <w:r w:rsidRPr="006760CC">
              <w:rPr>
                <w:rFonts w:ascii="Arial" w:hAnsi="Arial" w:cs="Arial"/>
              </w:rPr>
              <w:t>1</w:t>
            </w:r>
            <w:r w:rsidRPr="006760CC" w:rsidR="00F75EEF">
              <w:rPr>
                <w:rFonts w:ascii="Arial" w:hAnsi="Arial" w:cs="Arial"/>
              </w:rPr>
              <w:t>1</w:t>
            </w:r>
          </w:p>
        </w:tc>
        <w:tc>
          <w:tcPr>
            <w:tcW w:w="990" w:type="dxa"/>
            <w:shd w:val="clear" w:color="auto" w:fill="C00000"/>
          </w:tcPr>
          <w:p w:rsidRPr="00E6209F" w:rsidR="00555156" w:rsidP="005E37BF" w:rsidRDefault="00B72BF0" w14:paraId="43B8587C" w14:textId="08328AC8">
            <w:pPr>
              <w:ind w:right="-18"/>
              <w:jc w:val="center"/>
              <w:rPr>
                <w:rFonts w:ascii="Arial" w:hAnsi="Arial" w:cs="Arial"/>
              </w:rPr>
            </w:pPr>
            <w:r>
              <w:rPr>
                <w:rFonts w:ascii="Arial" w:hAnsi="Arial" w:cs="Arial"/>
              </w:rPr>
              <w:t>2</w:t>
            </w:r>
          </w:p>
        </w:tc>
        <w:tc>
          <w:tcPr>
            <w:tcW w:w="1085" w:type="dxa"/>
            <w:shd w:val="clear" w:color="auto" w:fill="FFC000"/>
          </w:tcPr>
          <w:p w:rsidRPr="00E6209F" w:rsidR="00555156" w:rsidP="005E37BF" w:rsidRDefault="00B72BF0" w14:paraId="12276132" w14:textId="53564D5F">
            <w:pPr>
              <w:ind w:right="-108"/>
              <w:jc w:val="center"/>
              <w:rPr>
                <w:rFonts w:ascii="Arial" w:hAnsi="Arial" w:cs="Arial"/>
              </w:rPr>
            </w:pPr>
            <w:r>
              <w:rPr>
                <w:rFonts w:ascii="Arial" w:hAnsi="Arial" w:cs="Arial"/>
              </w:rPr>
              <w:t>3</w:t>
            </w:r>
          </w:p>
        </w:tc>
        <w:tc>
          <w:tcPr>
            <w:tcW w:w="1064" w:type="dxa"/>
            <w:shd w:val="clear" w:color="auto" w:fill="00B050"/>
          </w:tcPr>
          <w:p w:rsidRPr="00E6209F" w:rsidR="00555156" w:rsidP="005E37BF" w:rsidRDefault="006760CC" w14:paraId="0BC86DF8" w14:textId="22E29AF0">
            <w:pPr>
              <w:ind w:right="-18"/>
              <w:jc w:val="center"/>
              <w:rPr>
                <w:rFonts w:ascii="Arial" w:hAnsi="Arial" w:cs="Arial"/>
              </w:rPr>
            </w:pPr>
            <w:r>
              <w:rPr>
                <w:rFonts w:ascii="Arial" w:hAnsi="Arial" w:cs="Arial"/>
              </w:rPr>
              <w:t>4</w:t>
            </w:r>
          </w:p>
        </w:tc>
        <w:tc>
          <w:tcPr>
            <w:tcW w:w="1010" w:type="dxa"/>
            <w:shd w:val="clear" w:color="auto" w:fill="0070C0"/>
          </w:tcPr>
          <w:p w:rsidRPr="00A83E7E" w:rsidR="00555156" w:rsidP="005E37BF" w:rsidRDefault="00555156" w14:paraId="232F7C6A" w14:textId="49A42352">
            <w:pPr>
              <w:ind w:right="-18"/>
              <w:jc w:val="center"/>
              <w:rPr>
                <w:rFonts w:ascii="Arial" w:hAnsi="Arial" w:cs="Arial"/>
              </w:rPr>
            </w:pPr>
            <w:r w:rsidRPr="00A83E7E">
              <w:rPr>
                <w:rFonts w:ascii="Arial" w:hAnsi="Arial" w:cs="Arial"/>
              </w:rPr>
              <w:t>-</w:t>
            </w:r>
          </w:p>
        </w:tc>
        <w:tc>
          <w:tcPr>
            <w:tcW w:w="1163" w:type="dxa"/>
            <w:shd w:val="clear" w:color="auto" w:fill="A6A6A6" w:themeFill="background1" w:themeFillShade="A6"/>
          </w:tcPr>
          <w:p w:rsidRPr="0090123D" w:rsidR="00555156" w:rsidP="005E37BF" w:rsidRDefault="00B72BF0" w14:paraId="6E343522" w14:textId="3B9878E3">
            <w:pPr>
              <w:ind w:right="-18"/>
              <w:jc w:val="center"/>
              <w:rPr>
                <w:rFonts w:ascii="Arial" w:hAnsi="Arial" w:cs="Arial"/>
              </w:rPr>
            </w:pPr>
            <w:r>
              <w:rPr>
                <w:rFonts w:ascii="Arial" w:hAnsi="Arial" w:cs="Arial"/>
              </w:rPr>
              <w:t>2</w:t>
            </w:r>
          </w:p>
        </w:tc>
      </w:tr>
      <w:tr w:rsidR="00E6209F" w:rsidTr="00555156" w14:paraId="489D3B90" w14:textId="77777777">
        <w:tc>
          <w:tcPr>
            <w:tcW w:w="3616" w:type="dxa"/>
          </w:tcPr>
          <w:p w:rsidR="00E6209F" w:rsidP="00EB2C1B" w:rsidRDefault="00EB2C1B" w14:paraId="069A3389" w14:textId="22B2ABE2">
            <w:pPr>
              <w:ind w:right="-18"/>
              <w:rPr>
                <w:rFonts w:ascii="Arial" w:hAnsi="Arial" w:cs="Arial"/>
              </w:rPr>
            </w:pPr>
            <w:r>
              <w:rPr>
                <w:rFonts w:ascii="Arial" w:hAnsi="Arial" w:cs="Arial"/>
              </w:rPr>
              <w:t xml:space="preserve">KPIs (2018/19 </w:t>
            </w:r>
            <w:r w:rsidR="00E6209F">
              <w:rPr>
                <w:rFonts w:ascii="Arial" w:hAnsi="Arial" w:cs="Arial"/>
              </w:rPr>
              <w:t>annual value)</w:t>
            </w:r>
          </w:p>
        </w:tc>
        <w:tc>
          <w:tcPr>
            <w:tcW w:w="1027" w:type="dxa"/>
          </w:tcPr>
          <w:p w:rsidRPr="00F75EEF" w:rsidR="00E6209F" w:rsidP="00555156" w:rsidRDefault="00E6209F" w14:paraId="64B7B265" w14:textId="65D672DB">
            <w:pPr>
              <w:jc w:val="center"/>
              <w:rPr>
                <w:rFonts w:ascii="Arial" w:hAnsi="Arial" w:cs="Arial"/>
                <w:highlight w:val="yellow"/>
              </w:rPr>
            </w:pPr>
            <w:r w:rsidRPr="006760CC">
              <w:rPr>
                <w:rFonts w:ascii="Arial" w:hAnsi="Arial" w:cs="Arial"/>
              </w:rPr>
              <w:t>1</w:t>
            </w:r>
            <w:r w:rsidRPr="006760CC" w:rsidR="00F75EEF">
              <w:rPr>
                <w:rFonts w:ascii="Arial" w:hAnsi="Arial" w:cs="Arial"/>
              </w:rPr>
              <w:t>1</w:t>
            </w:r>
          </w:p>
        </w:tc>
        <w:tc>
          <w:tcPr>
            <w:tcW w:w="990" w:type="dxa"/>
            <w:shd w:val="clear" w:color="auto" w:fill="C00000"/>
          </w:tcPr>
          <w:p w:rsidRPr="00E6209F" w:rsidR="00E6209F" w:rsidP="005E37BF" w:rsidRDefault="005F773A" w14:paraId="7643C7E8" w14:textId="42E7D505">
            <w:pPr>
              <w:ind w:right="-18"/>
              <w:jc w:val="center"/>
              <w:rPr>
                <w:rFonts w:ascii="Arial" w:hAnsi="Arial" w:cs="Arial"/>
              </w:rPr>
            </w:pPr>
            <w:r>
              <w:rPr>
                <w:rFonts w:ascii="Arial" w:hAnsi="Arial" w:cs="Arial"/>
              </w:rPr>
              <w:t>0</w:t>
            </w:r>
          </w:p>
        </w:tc>
        <w:tc>
          <w:tcPr>
            <w:tcW w:w="1085" w:type="dxa"/>
            <w:shd w:val="clear" w:color="auto" w:fill="FFC000"/>
          </w:tcPr>
          <w:p w:rsidRPr="00E6209F" w:rsidR="00E6209F" w:rsidP="005E37BF" w:rsidRDefault="005F773A" w14:paraId="21591781" w14:textId="1C97CCFE">
            <w:pPr>
              <w:ind w:right="-108"/>
              <w:jc w:val="center"/>
              <w:rPr>
                <w:rFonts w:ascii="Arial" w:hAnsi="Arial" w:cs="Arial"/>
              </w:rPr>
            </w:pPr>
            <w:r>
              <w:rPr>
                <w:rFonts w:ascii="Arial" w:hAnsi="Arial" w:cs="Arial"/>
              </w:rPr>
              <w:t>4</w:t>
            </w:r>
          </w:p>
        </w:tc>
        <w:tc>
          <w:tcPr>
            <w:tcW w:w="1064" w:type="dxa"/>
            <w:shd w:val="clear" w:color="auto" w:fill="00B050"/>
          </w:tcPr>
          <w:p w:rsidRPr="00E6209F" w:rsidR="00E6209F" w:rsidP="005E37BF" w:rsidRDefault="005F773A" w14:paraId="71E76C07" w14:textId="01D254A0">
            <w:pPr>
              <w:ind w:right="-18"/>
              <w:jc w:val="center"/>
              <w:rPr>
                <w:rFonts w:ascii="Arial" w:hAnsi="Arial" w:cs="Arial"/>
              </w:rPr>
            </w:pPr>
            <w:r>
              <w:rPr>
                <w:rFonts w:ascii="Arial" w:hAnsi="Arial" w:cs="Arial"/>
              </w:rPr>
              <w:t>7</w:t>
            </w:r>
          </w:p>
        </w:tc>
        <w:tc>
          <w:tcPr>
            <w:tcW w:w="1010" w:type="dxa"/>
            <w:shd w:val="clear" w:color="auto" w:fill="0070C0"/>
          </w:tcPr>
          <w:p w:rsidRPr="00A83E7E" w:rsidR="00E6209F" w:rsidP="005E37BF" w:rsidRDefault="00E6209F" w14:paraId="56284346" w14:textId="0036E56C">
            <w:pPr>
              <w:ind w:right="-18"/>
              <w:jc w:val="center"/>
              <w:rPr>
                <w:rFonts w:ascii="Arial" w:hAnsi="Arial" w:cs="Arial"/>
              </w:rPr>
            </w:pPr>
            <w:r>
              <w:rPr>
                <w:rFonts w:ascii="Arial" w:hAnsi="Arial" w:cs="Arial"/>
              </w:rPr>
              <w:t>-</w:t>
            </w:r>
          </w:p>
        </w:tc>
        <w:tc>
          <w:tcPr>
            <w:tcW w:w="1163" w:type="dxa"/>
            <w:shd w:val="clear" w:color="auto" w:fill="A6A6A6" w:themeFill="background1" w:themeFillShade="A6"/>
          </w:tcPr>
          <w:p w:rsidRPr="0090123D" w:rsidR="00E6209F" w:rsidP="005E37BF" w:rsidRDefault="00E6209F" w14:paraId="61A9C2A6" w14:textId="021178AA">
            <w:pPr>
              <w:ind w:right="-18"/>
              <w:jc w:val="center"/>
              <w:rPr>
                <w:rFonts w:ascii="Arial" w:hAnsi="Arial" w:cs="Arial"/>
              </w:rPr>
            </w:pPr>
            <w:r>
              <w:rPr>
                <w:rFonts w:ascii="Arial" w:hAnsi="Arial" w:cs="Arial"/>
              </w:rPr>
              <w:t>-</w:t>
            </w:r>
          </w:p>
        </w:tc>
      </w:tr>
    </w:tbl>
    <w:p w:rsidRPr="00555156" w:rsidR="00A466BD" w:rsidP="007262A2" w:rsidRDefault="00A466BD" w14:paraId="7A3B88F1" w14:textId="77777777">
      <w:pPr>
        <w:spacing w:after="0" w:line="240" w:lineRule="auto"/>
        <w:ind w:left="-360" w:right="-810"/>
        <w:rPr>
          <w:rFonts w:ascii="Arial" w:hAnsi="Arial" w:cs="Arial"/>
          <w:sz w:val="28"/>
        </w:rPr>
      </w:pPr>
    </w:p>
    <w:p w:rsidRPr="00233DBF" w:rsidR="00503568" w:rsidP="00233DBF" w:rsidRDefault="00503568" w14:paraId="494EE842" w14:textId="6DCC065F">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Projects/activities</w:t>
      </w:r>
      <w:r w:rsidR="008179C9">
        <w:rPr>
          <w:rFonts w:ascii="Arial" w:hAnsi="Arial" w:cs="Arial"/>
          <w:b/>
          <w:color w:val="000000" w:themeColor="text1"/>
          <w:sz w:val="28"/>
          <w:szCs w:val="24"/>
        </w:rPr>
        <w:t xml:space="preserve"> </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A)</w:t>
      </w:r>
    </w:p>
    <w:p w:rsidR="00B40874" w:rsidP="00503568" w:rsidRDefault="00B40874" w14:paraId="0A1AB115" w14:textId="6094A126">
      <w:pPr>
        <w:spacing w:after="0" w:line="240" w:lineRule="auto"/>
        <w:ind w:left="-360" w:right="-806"/>
        <w:rPr>
          <w:rFonts w:ascii="Arial" w:hAnsi="Arial" w:cs="Arial"/>
          <w:b/>
          <w:color w:val="0070C0"/>
          <w:sz w:val="24"/>
          <w:szCs w:val="24"/>
        </w:rPr>
      </w:pPr>
    </w:p>
    <w:p w:rsidR="00DE0E50" w:rsidP="00DE0E50" w:rsidRDefault="00DE0E50" w14:paraId="2481397A" w14:textId="77777777">
      <w:pPr>
        <w:spacing w:after="120" w:line="240" w:lineRule="auto"/>
        <w:ind w:left="-357" w:right="-805"/>
        <w:rPr>
          <w:rFonts w:ascii="Arial" w:hAnsi="Arial" w:cs="Arial"/>
          <w:b/>
          <w:color w:val="0070C0"/>
          <w:sz w:val="24"/>
          <w:szCs w:val="24"/>
        </w:rPr>
      </w:pPr>
      <w:r w:rsidRPr="00F957FE">
        <w:rPr>
          <w:rFonts w:ascii="Arial" w:hAnsi="Arial" w:cs="Arial"/>
          <w:b/>
          <w:color w:val="0070C0"/>
          <w:sz w:val="24"/>
          <w:szCs w:val="24"/>
        </w:rPr>
        <w:t xml:space="preserve">Blue </w:t>
      </w:r>
      <w:r>
        <w:rPr>
          <w:rFonts w:ascii="Arial" w:hAnsi="Arial" w:cs="Arial"/>
          <w:b/>
          <w:color w:val="0070C0"/>
          <w:sz w:val="24"/>
          <w:szCs w:val="24"/>
        </w:rPr>
        <w:t>highlights –</w:t>
      </w:r>
      <w:r w:rsidRPr="00F957FE">
        <w:rPr>
          <w:rFonts w:ascii="Arial" w:hAnsi="Arial" w:cs="Arial"/>
          <w:b/>
          <w:color w:val="0070C0"/>
          <w:sz w:val="24"/>
          <w:szCs w:val="24"/>
        </w:rPr>
        <w:t xml:space="preserve"> completed</w:t>
      </w:r>
      <w:r>
        <w:rPr>
          <w:rFonts w:ascii="Arial" w:hAnsi="Arial" w:cs="Arial"/>
          <w:b/>
          <w:color w:val="0070C0"/>
          <w:sz w:val="24"/>
          <w:szCs w:val="24"/>
        </w:rPr>
        <w:t xml:space="preserve"> this quarter</w:t>
      </w:r>
    </w:p>
    <w:p w:rsidRPr="001868DD" w:rsidR="00DE0E50" w:rsidP="00DE0E50" w:rsidRDefault="00DE0E50" w14:paraId="7746D98A" w14:textId="77777777">
      <w:pPr>
        <w:pStyle w:val="ListParagraph"/>
        <w:numPr>
          <w:ilvl w:val="0"/>
          <w:numId w:val="19"/>
        </w:numPr>
        <w:spacing w:after="120" w:line="240" w:lineRule="auto"/>
        <w:ind w:left="0" w:right="-612" w:hanging="284"/>
        <w:contextualSpacing w:val="0"/>
        <w:rPr>
          <w:rFonts w:ascii="Arial" w:hAnsi="Arial" w:cs="Arial"/>
        </w:rPr>
      </w:pPr>
      <w:r w:rsidRPr="001868DD">
        <w:rPr>
          <w:rFonts w:ascii="Arial" w:hAnsi="Arial" w:cs="Arial"/>
        </w:rPr>
        <w:t>The Council has developed a new Loans Fund for small and medium sized businesses in Allerdale – the fund is now up and running and providing loans to SME’s that wish to expand and create additional employment in Allerdale. (1.3)</w:t>
      </w:r>
    </w:p>
    <w:p w:rsidRPr="001E5CF6" w:rsidR="00503568" w:rsidP="00336D82" w:rsidRDefault="00B40874" w14:paraId="7330F9C0" w14:textId="2ED4FCA0">
      <w:pPr>
        <w:spacing w:after="120" w:line="240" w:lineRule="auto"/>
        <w:ind w:left="-357" w:right="-612"/>
        <w:rPr>
          <w:rFonts w:ascii="Arial" w:hAnsi="Arial" w:cs="Arial"/>
          <w:b/>
          <w:color w:val="00B050"/>
          <w:sz w:val="24"/>
          <w:szCs w:val="24"/>
        </w:rPr>
      </w:pPr>
      <w:r w:rsidRPr="001E5CF6">
        <w:rPr>
          <w:rFonts w:ascii="Arial" w:hAnsi="Arial" w:cs="Arial"/>
          <w:b/>
          <w:color w:val="00B050"/>
          <w:sz w:val="24"/>
          <w:szCs w:val="24"/>
        </w:rPr>
        <w:t>Green highlights</w:t>
      </w:r>
    </w:p>
    <w:p w:rsidRPr="003F22B9" w:rsidR="001E5CF6" w:rsidP="00573C5D" w:rsidRDefault="001E5CF6" w14:paraId="7E87575C" w14:textId="53E3F5AF">
      <w:pPr>
        <w:pStyle w:val="ListParagraph"/>
        <w:numPr>
          <w:ilvl w:val="0"/>
          <w:numId w:val="16"/>
        </w:numPr>
        <w:spacing w:after="80" w:line="240" w:lineRule="auto"/>
        <w:ind w:left="0" w:right="-612" w:hanging="284"/>
        <w:contextualSpacing w:val="0"/>
        <w:rPr>
          <w:rFonts w:ascii="Arial" w:hAnsi="Arial" w:cs="Arial"/>
        </w:rPr>
      </w:pPr>
      <w:r w:rsidRPr="003F22B9">
        <w:rPr>
          <w:rFonts w:ascii="Arial" w:hAnsi="Arial" w:cs="Arial"/>
        </w:rPr>
        <w:t>All SIIF funding has been allocated for this financial year</w:t>
      </w:r>
      <w:r w:rsidR="003F22B9">
        <w:rPr>
          <w:rFonts w:ascii="Arial" w:hAnsi="Arial" w:cs="Arial"/>
        </w:rPr>
        <w:t xml:space="preserve"> to support local small to medium-sized businesses</w:t>
      </w:r>
      <w:r w:rsidRPr="003F22B9" w:rsidR="003F22B9">
        <w:rPr>
          <w:rFonts w:ascii="Arial" w:hAnsi="Arial" w:cs="Arial"/>
        </w:rPr>
        <w:t xml:space="preserve">. </w:t>
      </w:r>
      <w:r w:rsidRPr="003F22B9">
        <w:rPr>
          <w:rFonts w:ascii="Arial" w:hAnsi="Arial" w:cs="Arial"/>
        </w:rPr>
        <w:t>(1.1)</w:t>
      </w:r>
    </w:p>
    <w:p w:rsidRPr="003F22B9" w:rsidR="003F22B9" w:rsidP="00573C5D" w:rsidRDefault="003F22B9" w14:paraId="034D46E3" w14:textId="33185707">
      <w:pPr>
        <w:pStyle w:val="ListParagraph"/>
        <w:numPr>
          <w:ilvl w:val="0"/>
          <w:numId w:val="16"/>
        </w:numPr>
        <w:spacing w:after="80" w:line="240" w:lineRule="auto"/>
        <w:ind w:left="0" w:right="-612" w:hanging="284"/>
        <w:contextualSpacing w:val="0"/>
        <w:rPr>
          <w:rFonts w:ascii="Arial" w:hAnsi="Arial" w:cs="Arial"/>
        </w:rPr>
      </w:pPr>
      <w:r w:rsidRPr="003F22B9">
        <w:rPr>
          <w:rFonts w:ascii="Arial" w:hAnsi="Arial" w:cs="Arial"/>
        </w:rPr>
        <w:t>Large employers forum meetings continue to be well attended – most recent discussion was around Brexit  (1.2)</w:t>
      </w:r>
    </w:p>
    <w:p w:rsidRPr="003F22B9" w:rsidR="00B40874" w:rsidP="00336D82" w:rsidRDefault="00B40874" w14:paraId="767C3E04" w14:textId="40BE2594">
      <w:pPr>
        <w:spacing w:after="120" w:line="240" w:lineRule="auto"/>
        <w:ind w:left="-357" w:right="-612"/>
        <w:rPr>
          <w:rFonts w:ascii="Arial" w:hAnsi="Arial" w:cs="Arial"/>
          <w:b/>
          <w:color w:val="4472C4" w:themeColor="accent5"/>
          <w:sz w:val="28"/>
          <w:szCs w:val="24"/>
        </w:rPr>
      </w:pPr>
      <w:r w:rsidRPr="003F22B9">
        <w:rPr>
          <w:rFonts w:ascii="Arial" w:hAnsi="Arial" w:cs="Arial"/>
          <w:b/>
          <w:color w:val="FFC000"/>
          <w:sz w:val="24"/>
          <w:szCs w:val="24"/>
        </w:rPr>
        <w:t>Amber – areas to watch</w:t>
      </w:r>
    </w:p>
    <w:p w:rsidRPr="003F22B9" w:rsidR="003F22B9" w:rsidP="00F407A9" w:rsidRDefault="003F22B9" w14:paraId="14EB4598" w14:textId="0E296043">
      <w:pPr>
        <w:pStyle w:val="ListParagraph"/>
        <w:numPr>
          <w:ilvl w:val="0"/>
          <w:numId w:val="15"/>
        </w:numPr>
        <w:spacing w:after="120" w:line="240" w:lineRule="auto"/>
        <w:ind w:left="0" w:right="-732" w:hanging="284"/>
        <w:contextualSpacing w:val="0"/>
        <w:rPr>
          <w:rFonts w:ascii="Arial" w:hAnsi="Arial" w:cs="Arial"/>
          <w:szCs w:val="24"/>
        </w:rPr>
      </w:pPr>
      <w:r w:rsidRPr="003F22B9">
        <w:rPr>
          <w:rFonts w:ascii="Arial" w:hAnsi="Arial" w:cs="Arial"/>
          <w:szCs w:val="24"/>
        </w:rPr>
        <w:t>Work with the Homes and Communities Agency to facilitate the development of new sites for housing</w:t>
      </w:r>
      <w:r>
        <w:rPr>
          <w:rFonts w:ascii="Arial" w:hAnsi="Arial" w:cs="Arial"/>
          <w:szCs w:val="24"/>
        </w:rPr>
        <w:t xml:space="preserve"> - </w:t>
      </w:r>
      <w:r w:rsidRPr="003F22B9">
        <w:rPr>
          <w:rFonts w:ascii="Arial" w:hAnsi="Arial" w:cs="Arial"/>
          <w:szCs w:val="24"/>
        </w:rPr>
        <w:t>Homes England has agreed to carry out additional work to investigate costs of infrastructure at the Westfield Site.  This should assist the Council in better understan</w:t>
      </w:r>
      <w:r>
        <w:rPr>
          <w:rFonts w:ascii="Arial" w:hAnsi="Arial" w:cs="Arial"/>
          <w:szCs w:val="24"/>
        </w:rPr>
        <w:t>d its commit</w:t>
      </w:r>
      <w:r w:rsidRPr="003F22B9">
        <w:rPr>
          <w:rFonts w:ascii="Arial" w:hAnsi="Arial" w:cs="Arial"/>
          <w:szCs w:val="24"/>
        </w:rPr>
        <w:t>ments to the project and any financial undertaking it may be asked to under</w:t>
      </w:r>
      <w:r>
        <w:rPr>
          <w:rFonts w:ascii="Arial" w:hAnsi="Arial" w:cs="Arial"/>
          <w:szCs w:val="24"/>
        </w:rPr>
        <w:t xml:space="preserve"> </w:t>
      </w:r>
      <w:r w:rsidRPr="003F22B9">
        <w:rPr>
          <w:rFonts w:ascii="Arial" w:hAnsi="Arial" w:cs="Arial"/>
          <w:szCs w:val="24"/>
        </w:rPr>
        <w:t>right if the</w:t>
      </w:r>
      <w:r>
        <w:rPr>
          <w:rFonts w:ascii="Arial" w:hAnsi="Arial" w:cs="Arial"/>
          <w:szCs w:val="24"/>
        </w:rPr>
        <w:t xml:space="preserve"> grant offer were to progresses. (1.4)</w:t>
      </w:r>
    </w:p>
    <w:p w:rsidRPr="003F22B9" w:rsidR="00B40874" w:rsidP="00573C5D" w:rsidRDefault="003F22B9" w14:paraId="5D09FED0" w14:textId="1171BF65">
      <w:pPr>
        <w:pStyle w:val="ListParagraph"/>
        <w:numPr>
          <w:ilvl w:val="0"/>
          <w:numId w:val="15"/>
        </w:numPr>
        <w:spacing w:after="0" w:line="240" w:lineRule="auto"/>
        <w:ind w:left="0" w:right="-805" w:hanging="284"/>
        <w:contextualSpacing w:val="0"/>
        <w:rPr>
          <w:rFonts w:ascii="Arial" w:hAnsi="Arial" w:cs="Arial"/>
          <w:szCs w:val="24"/>
        </w:rPr>
      </w:pPr>
      <w:r w:rsidRPr="003F22B9">
        <w:rPr>
          <w:rFonts w:ascii="Arial" w:hAnsi="Arial" w:cs="Arial"/>
          <w:szCs w:val="24"/>
        </w:rPr>
        <w:t>Increasing percentage of Council spend with local businesses – achieved 30.5% against a target of 42% for Q4.  Although our Q4 2018 trend is down, we have still increased spend with local (Allerdale) suppliers - when we compare Q4 2018 trend to Q4 2017, we have an increased spend of 5.77%</w:t>
      </w:r>
      <w:r w:rsidR="00573C5D">
        <w:rPr>
          <w:rFonts w:ascii="Arial" w:hAnsi="Arial" w:cs="Arial"/>
          <w:szCs w:val="24"/>
        </w:rPr>
        <w:t>.</w:t>
      </w:r>
      <w:r>
        <w:rPr>
          <w:rFonts w:ascii="Arial" w:hAnsi="Arial" w:cs="Arial"/>
          <w:szCs w:val="24"/>
        </w:rPr>
        <w:t>(1.9)</w:t>
      </w:r>
    </w:p>
    <w:p w:rsidRPr="00B40874" w:rsidR="00A83E7E" w:rsidP="00503568" w:rsidRDefault="00A83E7E" w14:paraId="03FEBAF3" w14:textId="77777777">
      <w:pPr>
        <w:spacing w:after="0" w:line="240" w:lineRule="auto"/>
        <w:ind w:left="-360" w:right="-806"/>
        <w:rPr>
          <w:rFonts w:ascii="Arial" w:hAnsi="Arial" w:cs="Arial"/>
          <w:szCs w:val="24"/>
        </w:rPr>
      </w:pPr>
    </w:p>
    <w:p w:rsidRPr="008179C9" w:rsidR="00503568" w:rsidP="00233DBF" w:rsidRDefault="00503568" w14:paraId="11E78A73" w14:textId="439ADC80">
      <w:pPr>
        <w:shd w:val="clear" w:color="auto" w:fill="B4C6E7" w:themeFill="accent5" w:themeFillTint="66"/>
        <w:spacing w:after="0" w:line="240" w:lineRule="auto"/>
        <w:ind w:left="-360" w:right="-612"/>
        <w:rPr>
          <w:rFonts w:ascii="Arial" w:hAnsi="Arial" w:cs="Arial"/>
          <w:color w:val="000000" w:themeColor="text1"/>
          <w:sz w:val="28"/>
          <w:szCs w:val="24"/>
        </w:rPr>
      </w:pPr>
      <w:r w:rsidRPr="00233DBF">
        <w:rPr>
          <w:rFonts w:ascii="Arial" w:hAnsi="Arial" w:cs="Arial"/>
          <w:b/>
          <w:color w:val="000000" w:themeColor="text1"/>
          <w:sz w:val="28"/>
          <w:szCs w:val="24"/>
        </w:rPr>
        <w:t>Key performance indicators</w:t>
      </w:r>
      <w:r w:rsidR="001B0F23">
        <w:rPr>
          <w:rFonts w:ascii="Arial" w:hAnsi="Arial" w:cs="Arial"/>
          <w:b/>
          <w:color w:val="000000" w:themeColor="text1"/>
          <w:sz w:val="28"/>
          <w:szCs w:val="24"/>
        </w:rPr>
        <w:t xml:space="preserve"> (annual outturn)</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B)</w:t>
      </w:r>
    </w:p>
    <w:p w:rsidRPr="005D3036" w:rsidR="00503568" w:rsidP="00503568" w:rsidRDefault="00503568" w14:paraId="7AB70AE2" w14:textId="69857BC1">
      <w:pPr>
        <w:spacing w:after="0" w:line="240" w:lineRule="auto"/>
        <w:ind w:left="-360" w:right="-806"/>
        <w:rPr>
          <w:rFonts w:ascii="Arial" w:hAnsi="Arial" w:cs="Arial"/>
          <w:sz w:val="20"/>
          <w:szCs w:val="24"/>
        </w:rPr>
      </w:pPr>
    </w:p>
    <w:p w:rsidR="005D3036" w:rsidP="005F773A" w:rsidRDefault="005D3036" w14:paraId="40E97F84" w14:textId="5D1B4173">
      <w:pPr>
        <w:spacing w:after="120" w:line="240" w:lineRule="auto"/>
        <w:ind w:left="-357" w:right="-805"/>
        <w:rPr>
          <w:rFonts w:ascii="Arial" w:hAnsi="Arial" w:cs="Arial"/>
          <w:sz w:val="24"/>
          <w:szCs w:val="24"/>
        </w:rPr>
      </w:pPr>
      <w:r w:rsidRPr="00AE4C66">
        <w:rPr>
          <w:rFonts w:ascii="Arial" w:hAnsi="Arial" w:cs="Arial"/>
          <w:b/>
          <w:color w:val="00B050"/>
          <w:sz w:val="24"/>
          <w:szCs w:val="24"/>
        </w:rPr>
        <w:t>Green highlights</w:t>
      </w:r>
    </w:p>
    <w:p w:rsidRPr="005F773A" w:rsidR="001C2684" w:rsidP="00C55C22" w:rsidRDefault="005F773A" w14:paraId="7C732234" w14:textId="025FE087">
      <w:pPr>
        <w:pStyle w:val="ListParagraph"/>
        <w:numPr>
          <w:ilvl w:val="0"/>
          <w:numId w:val="18"/>
        </w:numPr>
        <w:spacing w:after="120" w:line="240" w:lineRule="auto"/>
        <w:ind w:left="0" w:right="-805" w:hanging="284"/>
        <w:contextualSpacing w:val="0"/>
        <w:rPr>
          <w:rFonts w:ascii="Arial" w:hAnsi="Arial" w:cs="Arial"/>
        </w:rPr>
      </w:pPr>
      <w:r w:rsidRPr="005F773A">
        <w:rPr>
          <w:rFonts w:ascii="Arial" w:hAnsi="Arial" w:cs="Arial"/>
        </w:rPr>
        <w:t>52</w:t>
      </w:r>
      <w:r w:rsidRPr="005F773A" w:rsidR="001C2684">
        <w:rPr>
          <w:rFonts w:ascii="Arial" w:hAnsi="Arial" w:cs="Arial"/>
        </w:rPr>
        <w:t xml:space="preserve"> jobs created through effective management of external funding (KEG01a)</w:t>
      </w:r>
    </w:p>
    <w:p w:rsidRPr="005F773A" w:rsidR="005F773A" w:rsidP="00C55C22" w:rsidRDefault="005F773A" w14:paraId="3335430E" w14:textId="36F49E17">
      <w:pPr>
        <w:pStyle w:val="ListParagraph"/>
        <w:numPr>
          <w:ilvl w:val="0"/>
          <w:numId w:val="18"/>
        </w:numPr>
        <w:spacing w:after="120" w:line="240" w:lineRule="auto"/>
        <w:ind w:left="0" w:right="-805" w:hanging="284"/>
        <w:contextualSpacing w:val="0"/>
        <w:rPr>
          <w:rFonts w:ascii="Arial" w:hAnsi="Arial" w:cs="Arial"/>
        </w:rPr>
      </w:pPr>
      <w:r w:rsidRPr="005F773A">
        <w:rPr>
          <w:rFonts w:ascii="Arial" w:hAnsi="Arial" w:cs="Arial"/>
        </w:rPr>
        <w:t>146 jobs safeguarded through effective management of external funding (KEG01b)</w:t>
      </w:r>
    </w:p>
    <w:p w:rsidRPr="005F773A" w:rsidR="00A90707" w:rsidP="00C55C22" w:rsidRDefault="00A90707" w14:paraId="7AA8295A" w14:textId="3AC142B7">
      <w:pPr>
        <w:pStyle w:val="ListParagraph"/>
        <w:numPr>
          <w:ilvl w:val="0"/>
          <w:numId w:val="18"/>
        </w:numPr>
        <w:spacing w:after="120" w:line="240" w:lineRule="auto"/>
        <w:ind w:left="0" w:right="-805" w:hanging="284"/>
        <w:contextualSpacing w:val="0"/>
        <w:rPr>
          <w:rFonts w:ascii="Arial" w:hAnsi="Arial" w:cs="Arial"/>
        </w:rPr>
      </w:pPr>
      <w:r w:rsidRPr="005F773A">
        <w:rPr>
          <w:rFonts w:ascii="Arial" w:hAnsi="Arial" w:cs="Arial"/>
        </w:rPr>
        <w:t>9</w:t>
      </w:r>
      <w:r w:rsidRPr="005F773A" w:rsidR="005F773A">
        <w:rPr>
          <w:rFonts w:ascii="Arial" w:hAnsi="Arial" w:cs="Arial"/>
        </w:rPr>
        <w:t>4</w:t>
      </w:r>
      <w:r w:rsidRPr="005F773A">
        <w:rPr>
          <w:rFonts w:ascii="Arial" w:hAnsi="Arial" w:cs="Arial"/>
        </w:rPr>
        <w:t>% of m</w:t>
      </w:r>
      <w:r w:rsidRPr="005F773A" w:rsidR="005F773A">
        <w:rPr>
          <w:rFonts w:ascii="Arial" w:hAnsi="Arial" w:cs="Arial"/>
        </w:rPr>
        <w:t xml:space="preserve">ajor </w:t>
      </w:r>
      <w:r w:rsidRPr="005F773A">
        <w:rPr>
          <w:rFonts w:ascii="Arial" w:hAnsi="Arial" w:cs="Arial"/>
        </w:rPr>
        <w:t xml:space="preserve">planning applications determined within statutory </w:t>
      </w:r>
      <w:r w:rsidRPr="005F773A" w:rsidR="00A93EA7">
        <w:rPr>
          <w:rFonts w:ascii="Arial" w:hAnsi="Arial" w:cs="Arial"/>
        </w:rPr>
        <w:t>period</w:t>
      </w:r>
      <w:r w:rsidRPr="005F773A">
        <w:rPr>
          <w:rFonts w:ascii="Arial" w:hAnsi="Arial" w:cs="Arial"/>
        </w:rPr>
        <w:t xml:space="preserve"> (KDS0</w:t>
      </w:r>
      <w:r w:rsidRPr="005F773A" w:rsidR="005F773A">
        <w:rPr>
          <w:rFonts w:ascii="Arial" w:hAnsi="Arial" w:cs="Arial"/>
        </w:rPr>
        <w:t>1</w:t>
      </w:r>
      <w:r w:rsidRPr="005F773A">
        <w:rPr>
          <w:rFonts w:ascii="Arial" w:hAnsi="Arial" w:cs="Arial"/>
        </w:rPr>
        <w:t>)</w:t>
      </w:r>
    </w:p>
    <w:p w:rsidR="005F773A" w:rsidP="005F773A" w:rsidRDefault="00C55C22" w14:paraId="21466721" w14:textId="64354246">
      <w:pPr>
        <w:pStyle w:val="ListParagraph"/>
        <w:numPr>
          <w:ilvl w:val="0"/>
          <w:numId w:val="18"/>
        </w:numPr>
        <w:spacing w:after="120" w:line="240" w:lineRule="auto"/>
        <w:ind w:left="0" w:right="-805" w:hanging="284"/>
        <w:contextualSpacing w:val="0"/>
        <w:rPr>
          <w:rFonts w:ascii="Arial" w:hAnsi="Arial" w:cs="Arial"/>
        </w:rPr>
      </w:pPr>
      <w:r w:rsidRPr="005F773A">
        <w:rPr>
          <w:rFonts w:ascii="Arial" w:hAnsi="Arial" w:cs="Arial"/>
        </w:rPr>
        <w:t>99.</w:t>
      </w:r>
      <w:r w:rsidRPr="005F773A" w:rsidR="005F773A">
        <w:rPr>
          <w:rFonts w:ascii="Arial" w:hAnsi="Arial" w:cs="Arial"/>
        </w:rPr>
        <w:t>4</w:t>
      </w:r>
      <w:r w:rsidRPr="005F773A" w:rsidR="00A90707">
        <w:rPr>
          <w:rFonts w:ascii="Arial" w:hAnsi="Arial" w:cs="Arial"/>
        </w:rPr>
        <w:t>6</w:t>
      </w:r>
      <w:r w:rsidRPr="005F773A">
        <w:rPr>
          <w:rFonts w:ascii="Arial" w:hAnsi="Arial" w:cs="Arial"/>
        </w:rPr>
        <w:t>% of land charges searches carried out within 10 working days against a target of 95% (KGVO01)</w:t>
      </w:r>
    </w:p>
    <w:p w:rsidR="005F773A" w:rsidP="005F773A" w:rsidRDefault="005F773A" w14:paraId="0064A3AF" w14:textId="77777777">
      <w:pPr>
        <w:spacing w:after="120" w:line="240" w:lineRule="auto"/>
        <w:ind w:left="-357" w:right="-805"/>
        <w:rPr>
          <w:rFonts w:ascii="Arial" w:hAnsi="Arial" w:cs="Arial"/>
          <w:sz w:val="24"/>
          <w:szCs w:val="24"/>
        </w:rPr>
      </w:pPr>
      <w:r w:rsidRPr="008A62B0">
        <w:rPr>
          <w:rFonts w:ascii="Arial" w:hAnsi="Arial" w:cs="Arial"/>
          <w:b/>
          <w:color w:val="FFC000"/>
          <w:sz w:val="24"/>
          <w:szCs w:val="24"/>
        </w:rPr>
        <w:t>Amber – areas to watch</w:t>
      </w:r>
    </w:p>
    <w:p w:rsidRPr="00E66AF6" w:rsidR="00E66AF6" w:rsidP="00E66AF6" w:rsidRDefault="00E66AF6" w14:paraId="7E51E281" w14:textId="3D6F690A">
      <w:pPr>
        <w:pStyle w:val="Default"/>
        <w:numPr>
          <w:ilvl w:val="0"/>
          <w:numId w:val="39"/>
        </w:numPr>
        <w:spacing w:after="80"/>
        <w:ind w:left="0" w:hanging="284"/>
        <w:contextualSpacing/>
        <w:rPr>
          <w:sz w:val="22"/>
          <w:szCs w:val="22"/>
        </w:rPr>
      </w:pPr>
      <w:r w:rsidRPr="00E66AF6">
        <w:rPr>
          <w:sz w:val="22"/>
          <w:szCs w:val="22"/>
        </w:rPr>
        <w:t>Proportion of minor and other planning applications carried out within statutory timeframe - 89% against a target of 90%. (KDS02)</w:t>
      </w:r>
    </w:p>
    <w:p w:rsidRPr="00E66AF6" w:rsidR="00E66AF6" w:rsidP="00E66AF6" w:rsidRDefault="00E66AF6" w14:paraId="266B7D61" w14:textId="7C67CD11">
      <w:pPr>
        <w:pStyle w:val="ListParagraph"/>
        <w:numPr>
          <w:ilvl w:val="0"/>
          <w:numId w:val="39"/>
        </w:numPr>
        <w:spacing w:after="80" w:line="240" w:lineRule="auto"/>
        <w:ind w:left="0" w:right="-805" w:hanging="284"/>
        <w:contextualSpacing w:val="0"/>
        <w:rPr>
          <w:rFonts w:ascii="Arial" w:hAnsi="Arial" w:cs="Arial"/>
        </w:rPr>
      </w:pPr>
      <w:r w:rsidRPr="00E66AF6">
        <w:rPr>
          <w:rFonts w:ascii="Arial" w:hAnsi="Arial" w:cs="Arial"/>
        </w:rPr>
        <w:t>Number of new housing completions – 337 against a target of 344. (KDS04)</w:t>
      </w:r>
    </w:p>
    <w:p w:rsidRPr="00E66AF6" w:rsidR="00E66AF6" w:rsidP="00E66AF6" w:rsidRDefault="00E66AF6" w14:paraId="3B597B4A" w14:textId="77777777">
      <w:pPr>
        <w:pStyle w:val="ListParagraph"/>
        <w:numPr>
          <w:ilvl w:val="0"/>
          <w:numId w:val="39"/>
        </w:numPr>
        <w:spacing w:after="80" w:line="240" w:lineRule="auto"/>
        <w:ind w:left="0" w:right="-805" w:hanging="284"/>
        <w:contextualSpacing w:val="0"/>
        <w:rPr>
          <w:rFonts w:ascii="Arial" w:hAnsi="Arial" w:cs="Arial"/>
        </w:rPr>
      </w:pPr>
      <w:r w:rsidRPr="00E66AF6">
        <w:rPr>
          <w:rFonts w:ascii="Arial" w:hAnsi="Arial" w:cs="Arial"/>
        </w:rPr>
        <w:t>Proportion of invoices from local Cumbrian businesses paid within 14 days - 93.1% against a target of 98.0%. (KFS02)</w:t>
      </w:r>
    </w:p>
    <w:p w:rsidRPr="00573C5D" w:rsidR="007D3C37" w:rsidP="00573C5D" w:rsidRDefault="00E66AF6" w14:paraId="4F747FA0" w14:textId="1C4F9AF8">
      <w:pPr>
        <w:pStyle w:val="ListParagraph"/>
        <w:numPr>
          <w:ilvl w:val="0"/>
          <w:numId w:val="39"/>
        </w:numPr>
        <w:spacing w:after="120" w:line="240" w:lineRule="auto"/>
        <w:ind w:left="0" w:right="-806" w:hanging="284"/>
        <w:contextualSpacing w:val="0"/>
        <w:rPr>
          <w:rFonts w:ascii="Arial" w:hAnsi="Arial" w:cs="Arial"/>
        </w:rPr>
      </w:pPr>
      <w:r w:rsidRPr="00573C5D">
        <w:rPr>
          <w:rFonts w:ascii="Arial" w:hAnsi="Arial" w:cs="Arial"/>
        </w:rPr>
        <w:t>Proportion of Council spend on goods and services with local suppliers and companies – 38.2% against a target of 42.0%. (KCTC16)</w:t>
      </w:r>
      <w:r w:rsidRPr="00573C5D" w:rsidR="007D3C37">
        <w:rPr>
          <w:rFonts w:ascii="Arial" w:hAnsi="Arial" w:cs="Arial"/>
          <w:sz w:val="24"/>
        </w:rPr>
        <w:br w:type="page"/>
      </w:r>
    </w:p>
    <w:p w:rsidRPr="00C564E3" w:rsidR="007D3C37" w:rsidP="009C67F5" w:rsidRDefault="007D3C37" w14:paraId="4350F46B" w14:textId="2C66E682">
      <w:pPr>
        <w:spacing w:after="80" w:line="240" w:lineRule="auto"/>
        <w:ind w:left="-357" w:right="-805"/>
        <w:rPr>
          <w:rFonts w:ascii="Arial" w:hAnsi="Arial" w:cs="Arial"/>
          <w:b/>
          <w:color w:val="4472C4" w:themeColor="accent5"/>
          <w:sz w:val="44"/>
        </w:rPr>
      </w:pPr>
      <w:r w:rsidRPr="00C564E3">
        <w:rPr>
          <w:rFonts w:ascii="Arial" w:hAnsi="Arial" w:cs="Arial"/>
          <w:b/>
          <w:color w:val="4472C4" w:themeColor="accent5"/>
          <w:sz w:val="44"/>
        </w:rPr>
        <w:lastRenderedPageBreak/>
        <w:t xml:space="preserve">Tackling inequality summary </w:t>
      </w:r>
    </w:p>
    <w:p w:rsidRPr="00FE6643" w:rsidR="007D3C37" w:rsidP="009C67F5" w:rsidRDefault="007D3C37" w14:paraId="3AADEEAA" w14:textId="4B0A414D">
      <w:pPr>
        <w:spacing w:after="0" w:line="240" w:lineRule="auto"/>
        <w:ind w:left="-357" w:right="-811"/>
        <w:rPr>
          <w:rFonts w:ascii="Segoe Print" w:hAnsi="Segoe Print" w:cs="Arial"/>
          <w:color w:val="1F4E79" w:themeColor="accent1" w:themeShade="80"/>
          <w:sz w:val="24"/>
          <w:szCs w:val="24"/>
        </w:rPr>
      </w:pPr>
      <w:r w:rsidRPr="00FE6643">
        <w:rPr>
          <w:rFonts w:ascii="Segoe Print" w:hAnsi="Segoe Print" w:cs="Arial"/>
          <w:color w:val="1F4E79" w:themeColor="accent1" w:themeShade="80"/>
          <w:sz w:val="24"/>
          <w:szCs w:val="24"/>
        </w:rPr>
        <w:t xml:space="preserve">We aim to </w:t>
      </w:r>
      <w:r w:rsidRPr="00FE6643" w:rsidR="0029326B">
        <w:rPr>
          <w:rFonts w:ascii="Segoe Print" w:hAnsi="Segoe Print" w:cs="Arial"/>
          <w:color w:val="1F4E79" w:themeColor="accent1" w:themeShade="80"/>
          <w:sz w:val="24"/>
          <w:szCs w:val="24"/>
        </w:rPr>
        <w:t>reduce poverty and support people facing financial difficulties</w:t>
      </w:r>
    </w:p>
    <w:p w:rsidRPr="00555156" w:rsidR="00D54A76" w:rsidP="00D54A76" w:rsidRDefault="00D54A76" w14:paraId="140E1E5F" w14:textId="77777777">
      <w:pPr>
        <w:spacing w:after="0" w:line="240" w:lineRule="auto"/>
        <w:ind w:left="-360" w:right="-806"/>
        <w:rPr>
          <w:rFonts w:ascii="Arial" w:hAnsi="Arial" w:cs="Arial"/>
          <w:sz w:val="28"/>
          <w:szCs w:val="24"/>
        </w:rPr>
      </w:pPr>
    </w:p>
    <w:tbl>
      <w:tblPr>
        <w:tblStyle w:val="TableGrid"/>
        <w:tblW w:w="9975" w:type="dxa"/>
        <w:tblInd w:w="-360" w:type="dxa"/>
        <w:tblLook w:val="04A0" w:firstRow="1" w:lastRow="0" w:firstColumn="1" w:lastColumn="0" w:noHBand="0" w:noVBand="1"/>
      </w:tblPr>
      <w:tblGrid>
        <w:gridCol w:w="3616"/>
        <w:gridCol w:w="1049"/>
        <w:gridCol w:w="1020"/>
        <w:gridCol w:w="1093"/>
        <w:gridCol w:w="1077"/>
        <w:gridCol w:w="1036"/>
        <w:gridCol w:w="1084"/>
      </w:tblGrid>
      <w:tr w:rsidRPr="00B80396" w:rsidR="00555156" w:rsidTr="00555156" w14:paraId="73364803" w14:textId="5A0B61B9">
        <w:tc>
          <w:tcPr>
            <w:tcW w:w="3616" w:type="dxa"/>
          </w:tcPr>
          <w:p w:rsidRPr="00555156" w:rsidR="00555156" w:rsidP="008B6466" w:rsidRDefault="00555156" w14:paraId="7CAFE4F8" w14:textId="49446514">
            <w:pPr>
              <w:ind w:right="-33"/>
              <w:rPr>
                <w:rFonts w:ascii="Arial" w:hAnsi="Arial" w:cs="Arial"/>
                <w:b/>
              </w:rPr>
            </w:pPr>
            <w:r w:rsidRPr="00555156">
              <w:rPr>
                <w:rFonts w:ascii="Arial" w:hAnsi="Arial" w:cs="Arial"/>
                <w:b/>
              </w:rPr>
              <w:t xml:space="preserve">Summary of Quarter </w:t>
            </w:r>
            <w:r w:rsidR="008B6466">
              <w:rPr>
                <w:rFonts w:ascii="Arial" w:hAnsi="Arial" w:cs="Arial"/>
                <w:b/>
              </w:rPr>
              <w:t>4</w:t>
            </w:r>
            <w:r w:rsidRPr="00555156">
              <w:rPr>
                <w:rFonts w:ascii="Arial" w:hAnsi="Arial" w:cs="Arial"/>
                <w:b/>
              </w:rPr>
              <w:t xml:space="preserve"> position</w:t>
            </w:r>
          </w:p>
        </w:tc>
        <w:tc>
          <w:tcPr>
            <w:tcW w:w="1049" w:type="dxa"/>
          </w:tcPr>
          <w:p w:rsidRPr="00555156" w:rsidR="00555156" w:rsidP="005E37BF" w:rsidRDefault="00555156" w14:paraId="02F002B9" w14:textId="77777777">
            <w:pPr>
              <w:ind w:right="-18"/>
              <w:jc w:val="center"/>
              <w:rPr>
                <w:rFonts w:ascii="Arial" w:hAnsi="Arial" w:cs="Arial"/>
                <w:b/>
              </w:rPr>
            </w:pPr>
            <w:r w:rsidRPr="00555156">
              <w:rPr>
                <w:rFonts w:ascii="Arial" w:hAnsi="Arial" w:cs="Arial"/>
                <w:b/>
              </w:rPr>
              <w:t>Total</w:t>
            </w:r>
          </w:p>
        </w:tc>
        <w:tc>
          <w:tcPr>
            <w:tcW w:w="1020" w:type="dxa"/>
            <w:shd w:val="clear" w:color="auto" w:fill="C00000"/>
          </w:tcPr>
          <w:p w:rsidRPr="00555156" w:rsidR="00555156" w:rsidP="005E37BF" w:rsidRDefault="00555156" w14:paraId="4CA513CD" w14:textId="77777777">
            <w:pPr>
              <w:ind w:right="-18"/>
              <w:jc w:val="center"/>
              <w:rPr>
                <w:rFonts w:ascii="Arial" w:hAnsi="Arial" w:cs="Arial"/>
                <w:b/>
              </w:rPr>
            </w:pPr>
            <w:r w:rsidRPr="00555156">
              <w:rPr>
                <w:rFonts w:ascii="Arial" w:hAnsi="Arial" w:cs="Arial"/>
                <w:b/>
                <w:color w:val="000000" w:themeColor="text1"/>
              </w:rPr>
              <w:t>Red</w:t>
            </w:r>
          </w:p>
        </w:tc>
        <w:tc>
          <w:tcPr>
            <w:tcW w:w="1093" w:type="dxa"/>
            <w:shd w:val="clear" w:color="auto" w:fill="FFC000"/>
          </w:tcPr>
          <w:p w:rsidRPr="00555156" w:rsidR="00555156" w:rsidP="005E37BF" w:rsidRDefault="00555156" w14:paraId="73F579D6" w14:textId="77777777">
            <w:pPr>
              <w:jc w:val="center"/>
              <w:rPr>
                <w:rFonts w:ascii="Arial" w:hAnsi="Arial" w:cs="Arial"/>
                <w:b/>
              </w:rPr>
            </w:pPr>
            <w:r w:rsidRPr="00555156">
              <w:rPr>
                <w:rFonts w:ascii="Arial" w:hAnsi="Arial" w:cs="Arial"/>
                <w:b/>
              </w:rPr>
              <w:t>Amber</w:t>
            </w:r>
          </w:p>
        </w:tc>
        <w:tc>
          <w:tcPr>
            <w:tcW w:w="1077" w:type="dxa"/>
            <w:shd w:val="clear" w:color="auto" w:fill="00B050"/>
          </w:tcPr>
          <w:p w:rsidRPr="00555156" w:rsidR="00555156" w:rsidP="005E37BF" w:rsidRDefault="00555156" w14:paraId="2B4FF9D5" w14:textId="77777777">
            <w:pPr>
              <w:ind w:right="-18"/>
              <w:jc w:val="center"/>
              <w:rPr>
                <w:rFonts w:ascii="Arial" w:hAnsi="Arial" w:cs="Arial"/>
                <w:b/>
              </w:rPr>
            </w:pPr>
            <w:r w:rsidRPr="00555156">
              <w:rPr>
                <w:rFonts w:ascii="Arial" w:hAnsi="Arial" w:cs="Arial"/>
                <w:b/>
              </w:rPr>
              <w:t>Green</w:t>
            </w:r>
          </w:p>
        </w:tc>
        <w:tc>
          <w:tcPr>
            <w:tcW w:w="1036" w:type="dxa"/>
            <w:shd w:val="clear" w:color="auto" w:fill="0070C0"/>
          </w:tcPr>
          <w:p w:rsidRPr="00555156" w:rsidR="00555156" w:rsidP="005E37BF" w:rsidRDefault="00555156" w14:paraId="36303A38" w14:textId="77777777">
            <w:pPr>
              <w:ind w:right="-18"/>
              <w:jc w:val="center"/>
              <w:rPr>
                <w:rFonts w:ascii="Arial" w:hAnsi="Arial" w:cs="Arial"/>
                <w:b/>
              </w:rPr>
            </w:pPr>
            <w:r w:rsidRPr="00555156">
              <w:rPr>
                <w:rFonts w:ascii="Arial" w:hAnsi="Arial" w:cs="Arial"/>
                <w:b/>
              </w:rPr>
              <w:t>Blue</w:t>
            </w:r>
          </w:p>
        </w:tc>
        <w:tc>
          <w:tcPr>
            <w:tcW w:w="1084" w:type="dxa"/>
            <w:shd w:val="clear" w:color="auto" w:fill="A6A6A6" w:themeFill="background1" w:themeFillShade="A6"/>
          </w:tcPr>
          <w:p w:rsidRPr="00555156" w:rsidR="00555156" w:rsidP="00555156" w:rsidRDefault="00555156" w14:paraId="01B0D8BE" w14:textId="18D403C7">
            <w:pPr>
              <w:ind w:right="-18"/>
              <w:jc w:val="center"/>
              <w:rPr>
                <w:rFonts w:ascii="Arial" w:hAnsi="Arial" w:cs="Arial"/>
                <w:b/>
              </w:rPr>
            </w:pPr>
            <w:r w:rsidRPr="00555156">
              <w:rPr>
                <w:rFonts w:ascii="Arial" w:hAnsi="Arial" w:cs="Arial"/>
                <w:b/>
              </w:rPr>
              <w:t>Not targeted</w:t>
            </w:r>
          </w:p>
        </w:tc>
      </w:tr>
      <w:tr w:rsidR="00555156" w:rsidTr="00555156" w14:paraId="015CE48E" w14:textId="09A31A5D">
        <w:tc>
          <w:tcPr>
            <w:tcW w:w="3616" w:type="dxa"/>
          </w:tcPr>
          <w:p w:rsidRPr="00555156" w:rsidR="00555156" w:rsidP="005E37BF" w:rsidRDefault="00555156" w14:paraId="04759AD9" w14:textId="77777777">
            <w:pPr>
              <w:ind w:right="-18"/>
              <w:rPr>
                <w:rFonts w:ascii="Arial" w:hAnsi="Arial" w:cs="Arial"/>
              </w:rPr>
            </w:pPr>
            <w:r w:rsidRPr="00555156">
              <w:rPr>
                <w:rFonts w:ascii="Arial" w:hAnsi="Arial" w:cs="Arial"/>
              </w:rPr>
              <w:t>Projects/activities</w:t>
            </w:r>
          </w:p>
        </w:tc>
        <w:tc>
          <w:tcPr>
            <w:tcW w:w="1049" w:type="dxa"/>
          </w:tcPr>
          <w:p w:rsidRPr="00EB2C1B" w:rsidR="00555156" w:rsidP="005E37BF" w:rsidRDefault="00F75EEF" w14:paraId="2EC21EC5" w14:textId="7FD671DB">
            <w:pPr>
              <w:jc w:val="center"/>
              <w:rPr>
                <w:rFonts w:ascii="Arial" w:hAnsi="Arial" w:cs="Arial"/>
                <w:highlight w:val="yellow"/>
              </w:rPr>
            </w:pPr>
            <w:r w:rsidRPr="00F75EEF">
              <w:rPr>
                <w:rFonts w:ascii="Arial" w:hAnsi="Arial" w:cs="Arial"/>
              </w:rPr>
              <w:t>14</w:t>
            </w:r>
          </w:p>
        </w:tc>
        <w:tc>
          <w:tcPr>
            <w:tcW w:w="1020" w:type="dxa"/>
            <w:shd w:val="clear" w:color="auto" w:fill="C00000"/>
          </w:tcPr>
          <w:p w:rsidRPr="002F2B3B" w:rsidR="00555156" w:rsidP="005E37BF" w:rsidRDefault="00785F35" w14:paraId="68233E49" w14:textId="2BBB11B1">
            <w:pPr>
              <w:ind w:right="-18"/>
              <w:jc w:val="center"/>
              <w:rPr>
                <w:rFonts w:ascii="Arial" w:hAnsi="Arial" w:cs="Arial"/>
              </w:rPr>
            </w:pPr>
            <w:r>
              <w:rPr>
                <w:rFonts w:ascii="Arial" w:hAnsi="Arial" w:cs="Arial"/>
              </w:rPr>
              <w:t>0</w:t>
            </w:r>
          </w:p>
        </w:tc>
        <w:tc>
          <w:tcPr>
            <w:tcW w:w="1093" w:type="dxa"/>
            <w:shd w:val="clear" w:color="auto" w:fill="FFC000"/>
          </w:tcPr>
          <w:p w:rsidRPr="002F2B3B" w:rsidR="00555156" w:rsidP="005E37BF" w:rsidRDefault="00785F35" w14:paraId="2B1964BE" w14:textId="02130DD8">
            <w:pPr>
              <w:ind w:right="-108"/>
              <w:jc w:val="center"/>
              <w:rPr>
                <w:rFonts w:ascii="Arial" w:hAnsi="Arial" w:cs="Arial"/>
              </w:rPr>
            </w:pPr>
            <w:r>
              <w:rPr>
                <w:rFonts w:ascii="Arial" w:hAnsi="Arial" w:cs="Arial"/>
              </w:rPr>
              <w:t>0</w:t>
            </w:r>
          </w:p>
        </w:tc>
        <w:tc>
          <w:tcPr>
            <w:tcW w:w="1077" w:type="dxa"/>
            <w:shd w:val="clear" w:color="auto" w:fill="00B050"/>
          </w:tcPr>
          <w:p w:rsidRPr="002F2B3B" w:rsidR="00555156" w:rsidP="005E37BF" w:rsidRDefault="00785F35" w14:paraId="083A87EC" w14:textId="722EFFEA">
            <w:pPr>
              <w:ind w:right="-18"/>
              <w:jc w:val="center"/>
              <w:rPr>
                <w:rFonts w:ascii="Arial" w:hAnsi="Arial" w:cs="Arial"/>
              </w:rPr>
            </w:pPr>
            <w:r>
              <w:rPr>
                <w:rFonts w:ascii="Arial" w:hAnsi="Arial" w:cs="Arial"/>
              </w:rPr>
              <w:t>11</w:t>
            </w:r>
          </w:p>
        </w:tc>
        <w:tc>
          <w:tcPr>
            <w:tcW w:w="1036" w:type="dxa"/>
            <w:shd w:val="clear" w:color="auto" w:fill="0070C0"/>
          </w:tcPr>
          <w:p w:rsidRPr="002F2B3B" w:rsidR="00555156" w:rsidP="005E37BF" w:rsidRDefault="00785F35" w14:paraId="487D135E" w14:textId="26C653E3">
            <w:pPr>
              <w:ind w:right="-18"/>
              <w:jc w:val="center"/>
              <w:rPr>
                <w:rFonts w:ascii="Arial" w:hAnsi="Arial" w:cs="Arial"/>
              </w:rPr>
            </w:pPr>
            <w:r>
              <w:rPr>
                <w:rFonts w:ascii="Arial" w:hAnsi="Arial" w:cs="Arial"/>
              </w:rPr>
              <w:t>3</w:t>
            </w:r>
          </w:p>
        </w:tc>
        <w:tc>
          <w:tcPr>
            <w:tcW w:w="1084" w:type="dxa"/>
            <w:shd w:val="clear" w:color="auto" w:fill="A6A6A6" w:themeFill="background1" w:themeFillShade="A6"/>
          </w:tcPr>
          <w:p w:rsidRPr="0090123D" w:rsidR="00555156" w:rsidP="005E37BF" w:rsidRDefault="00555156" w14:paraId="51370B98" w14:textId="107BF143">
            <w:pPr>
              <w:ind w:right="-18"/>
              <w:jc w:val="center"/>
              <w:rPr>
                <w:rFonts w:ascii="Arial" w:hAnsi="Arial" w:cs="Arial"/>
              </w:rPr>
            </w:pPr>
            <w:r w:rsidRPr="0090123D">
              <w:rPr>
                <w:rFonts w:ascii="Arial" w:hAnsi="Arial" w:cs="Arial"/>
              </w:rPr>
              <w:t>-</w:t>
            </w:r>
          </w:p>
        </w:tc>
      </w:tr>
      <w:tr w:rsidR="00555156" w:rsidTr="00555156" w14:paraId="289BDDB3" w14:textId="75A193C0">
        <w:tc>
          <w:tcPr>
            <w:tcW w:w="3616" w:type="dxa"/>
          </w:tcPr>
          <w:p w:rsidRPr="00555156" w:rsidR="00555156" w:rsidP="005E37BF" w:rsidRDefault="00555156" w14:paraId="63B8C22C" w14:textId="6EC314FA">
            <w:pPr>
              <w:ind w:right="-18"/>
              <w:rPr>
                <w:rFonts w:ascii="Arial" w:hAnsi="Arial" w:cs="Arial"/>
              </w:rPr>
            </w:pPr>
            <w:r w:rsidRPr="00555156">
              <w:rPr>
                <w:rFonts w:ascii="Arial" w:hAnsi="Arial" w:cs="Arial"/>
              </w:rPr>
              <w:t>KPIs</w:t>
            </w:r>
            <w:r w:rsidR="00597C44">
              <w:rPr>
                <w:rFonts w:ascii="Arial" w:hAnsi="Arial" w:cs="Arial"/>
              </w:rPr>
              <w:t xml:space="preserve"> (Q4 value)</w:t>
            </w:r>
          </w:p>
        </w:tc>
        <w:tc>
          <w:tcPr>
            <w:tcW w:w="1049" w:type="dxa"/>
          </w:tcPr>
          <w:p w:rsidRPr="00545ADC" w:rsidR="00555156" w:rsidP="00122D91" w:rsidRDefault="00545ADC" w14:paraId="41FE00BB" w14:textId="4675F24E">
            <w:pPr>
              <w:ind w:right="-51"/>
              <w:jc w:val="center"/>
              <w:rPr>
                <w:rFonts w:ascii="Arial" w:hAnsi="Arial" w:cs="Arial"/>
              </w:rPr>
            </w:pPr>
            <w:r w:rsidRPr="00545ADC">
              <w:rPr>
                <w:rFonts w:ascii="Arial" w:hAnsi="Arial" w:cs="Arial"/>
              </w:rPr>
              <w:t>6</w:t>
            </w:r>
          </w:p>
        </w:tc>
        <w:tc>
          <w:tcPr>
            <w:tcW w:w="1020" w:type="dxa"/>
            <w:shd w:val="clear" w:color="auto" w:fill="C00000"/>
          </w:tcPr>
          <w:p w:rsidRPr="00597C44" w:rsidR="00555156" w:rsidP="005E37BF" w:rsidRDefault="00545ADC" w14:paraId="486ED6B5" w14:textId="45E7CDE5">
            <w:pPr>
              <w:ind w:right="-18"/>
              <w:jc w:val="center"/>
              <w:rPr>
                <w:rFonts w:ascii="Arial" w:hAnsi="Arial" w:cs="Arial"/>
              </w:rPr>
            </w:pPr>
            <w:r>
              <w:rPr>
                <w:rFonts w:ascii="Arial" w:hAnsi="Arial" w:cs="Arial"/>
              </w:rPr>
              <w:t>0</w:t>
            </w:r>
          </w:p>
        </w:tc>
        <w:tc>
          <w:tcPr>
            <w:tcW w:w="1093" w:type="dxa"/>
            <w:shd w:val="clear" w:color="auto" w:fill="FFC000"/>
          </w:tcPr>
          <w:p w:rsidRPr="00597C44" w:rsidR="00555156" w:rsidP="005E37BF" w:rsidRDefault="00545ADC" w14:paraId="5F2FB040" w14:textId="5A3F9258">
            <w:pPr>
              <w:ind w:right="-108"/>
              <w:jc w:val="center"/>
              <w:rPr>
                <w:rFonts w:ascii="Arial" w:hAnsi="Arial" w:cs="Arial"/>
              </w:rPr>
            </w:pPr>
            <w:r>
              <w:rPr>
                <w:rFonts w:ascii="Arial" w:hAnsi="Arial" w:cs="Arial"/>
              </w:rPr>
              <w:t>1</w:t>
            </w:r>
          </w:p>
        </w:tc>
        <w:tc>
          <w:tcPr>
            <w:tcW w:w="1077" w:type="dxa"/>
            <w:shd w:val="clear" w:color="auto" w:fill="00B050"/>
          </w:tcPr>
          <w:p w:rsidRPr="00597C44" w:rsidR="00555156" w:rsidP="005E37BF" w:rsidRDefault="00545ADC" w14:paraId="43896091" w14:textId="328B6AB5">
            <w:pPr>
              <w:ind w:right="-18"/>
              <w:jc w:val="center"/>
              <w:rPr>
                <w:rFonts w:ascii="Arial" w:hAnsi="Arial" w:cs="Arial"/>
              </w:rPr>
            </w:pPr>
            <w:r>
              <w:rPr>
                <w:rFonts w:ascii="Arial" w:hAnsi="Arial" w:cs="Arial"/>
              </w:rPr>
              <w:t>5</w:t>
            </w:r>
          </w:p>
        </w:tc>
        <w:tc>
          <w:tcPr>
            <w:tcW w:w="1036" w:type="dxa"/>
            <w:shd w:val="clear" w:color="auto" w:fill="0070C0"/>
          </w:tcPr>
          <w:p w:rsidRPr="00597C44" w:rsidR="00555156" w:rsidP="005E37BF" w:rsidRDefault="00597C44" w14:paraId="084A61F0" w14:textId="39B3ABB1">
            <w:pPr>
              <w:ind w:right="-18"/>
              <w:jc w:val="center"/>
              <w:rPr>
                <w:rFonts w:ascii="Arial" w:hAnsi="Arial" w:cs="Arial"/>
              </w:rPr>
            </w:pPr>
            <w:r w:rsidRPr="00597C44">
              <w:rPr>
                <w:rFonts w:ascii="Arial" w:hAnsi="Arial" w:cs="Arial"/>
              </w:rPr>
              <w:t>-</w:t>
            </w:r>
          </w:p>
        </w:tc>
        <w:tc>
          <w:tcPr>
            <w:tcW w:w="1084" w:type="dxa"/>
            <w:shd w:val="clear" w:color="auto" w:fill="A6A6A6" w:themeFill="background1" w:themeFillShade="A6"/>
          </w:tcPr>
          <w:p w:rsidRPr="0090123D" w:rsidR="00555156" w:rsidP="005E37BF" w:rsidRDefault="00545ADC" w14:paraId="52AE18CC" w14:textId="713B6D69">
            <w:pPr>
              <w:ind w:right="-18"/>
              <w:jc w:val="center"/>
              <w:rPr>
                <w:rFonts w:ascii="Arial" w:hAnsi="Arial" w:cs="Arial"/>
              </w:rPr>
            </w:pPr>
            <w:r>
              <w:rPr>
                <w:rFonts w:ascii="Arial" w:hAnsi="Arial" w:cs="Arial"/>
              </w:rPr>
              <w:t>0</w:t>
            </w:r>
          </w:p>
        </w:tc>
      </w:tr>
      <w:tr w:rsidR="00597C44" w:rsidTr="00555156" w14:paraId="78CB5D2D" w14:textId="77777777">
        <w:tc>
          <w:tcPr>
            <w:tcW w:w="3616" w:type="dxa"/>
          </w:tcPr>
          <w:p w:rsidRPr="00555156" w:rsidR="00597C44" w:rsidP="00EB2C1B" w:rsidRDefault="00597C44" w14:paraId="1B2B945E" w14:textId="029482BF">
            <w:pPr>
              <w:ind w:right="-18"/>
              <w:rPr>
                <w:rFonts w:ascii="Arial" w:hAnsi="Arial" w:cs="Arial"/>
              </w:rPr>
            </w:pPr>
            <w:r>
              <w:rPr>
                <w:rFonts w:ascii="Arial" w:hAnsi="Arial" w:cs="Arial"/>
              </w:rPr>
              <w:t>KPIs (201</w:t>
            </w:r>
            <w:r w:rsidR="00EB2C1B">
              <w:rPr>
                <w:rFonts w:ascii="Arial" w:hAnsi="Arial" w:cs="Arial"/>
              </w:rPr>
              <w:t>8/19</w:t>
            </w:r>
            <w:r>
              <w:rPr>
                <w:rFonts w:ascii="Arial" w:hAnsi="Arial" w:cs="Arial"/>
              </w:rPr>
              <w:t xml:space="preserve"> annual value)</w:t>
            </w:r>
          </w:p>
        </w:tc>
        <w:tc>
          <w:tcPr>
            <w:tcW w:w="1049" w:type="dxa"/>
          </w:tcPr>
          <w:p w:rsidRPr="00545ADC" w:rsidR="00597C44" w:rsidP="00597C44" w:rsidRDefault="00545ADC" w14:paraId="71E78DC5" w14:textId="34430684">
            <w:pPr>
              <w:ind w:right="-51"/>
              <w:jc w:val="center"/>
              <w:rPr>
                <w:rFonts w:ascii="Arial" w:hAnsi="Arial" w:cs="Arial"/>
              </w:rPr>
            </w:pPr>
            <w:r w:rsidRPr="00545ADC">
              <w:rPr>
                <w:rFonts w:ascii="Arial" w:hAnsi="Arial" w:cs="Arial"/>
              </w:rPr>
              <w:t>6</w:t>
            </w:r>
          </w:p>
        </w:tc>
        <w:tc>
          <w:tcPr>
            <w:tcW w:w="1020" w:type="dxa"/>
            <w:shd w:val="clear" w:color="auto" w:fill="C00000"/>
          </w:tcPr>
          <w:p w:rsidRPr="00597C44" w:rsidR="00597C44" w:rsidP="00597C44" w:rsidRDefault="00545ADC" w14:paraId="5B36C489" w14:textId="24463AD2">
            <w:pPr>
              <w:ind w:right="-18"/>
              <w:jc w:val="center"/>
              <w:rPr>
                <w:rFonts w:ascii="Arial" w:hAnsi="Arial" w:cs="Arial"/>
              </w:rPr>
            </w:pPr>
            <w:r>
              <w:rPr>
                <w:rFonts w:ascii="Arial" w:hAnsi="Arial" w:cs="Arial"/>
              </w:rPr>
              <w:t>1</w:t>
            </w:r>
          </w:p>
        </w:tc>
        <w:tc>
          <w:tcPr>
            <w:tcW w:w="1093" w:type="dxa"/>
            <w:shd w:val="clear" w:color="auto" w:fill="FFC000"/>
          </w:tcPr>
          <w:p w:rsidRPr="00597C44" w:rsidR="00597C44" w:rsidP="00597C44" w:rsidRDefault="00545ADC" w14:paraId="5F1EB347" w14:textId="6FD18B29">
            <w:pPr>
              <w:ind w:right="-108"/>
              <w:jc w:val="center"/>
              <w:rPr>
                <w:rFonts w:ascii="Arial" w:hAnsi="Arial" w:cs="Arial"/>
              </w:rPr>
            </w:pPr>
            <w:r>
              <w:rPr>
                <w:rFonts w:ascii="Arial" w:hAnsi="Arial" w:cs="Arial"/>
              </w:rPr>
              <w:t>0</w:t>
            </w:r>
          </w:p>
        </w:tc>
        <w:tc>
          <w:tcPr>
            <w:tcW w:w="1077" w:type="dxa"/>
            <w:shd w:val="clear" w:color="auto" w:fill="00B050"/>
          </w:tcPr>
          <w:p w:rsidRPr="00597C44" w:rsidR="00597C44" w:rsidP="00597C44" w:rsidRDefault="00545ADC" w14:paraId="37D0A022" w14:textId="2325002C">
            <w:pPr>
              <w:ind w:right="-18"/>
              <w:jc w:val="center"/>
              <w:rPr>
                <w:rFonts w:ascii="Arial" w:hAnsi="Arial" w:cs="Arial"/>
              </w:rPr>
            </w:pPr>
            <w:r>
              <w:rPr>
                <w:rFonts w:ascii="Arial" w:hAnsi="Arial" w:cs="Arial"/>
              </w:rPr>
              <w:t>5</w:t>
            </w:r>
          </w:p>
        </w:tc>
        <w:tc>
          <w:tcPr>
            <w:tcW w:w="1036" w:type="dxa"/>
            <w:shd w:val="clear" w:color="auto" w:fill="0070C0"/>
          </w:tcPr>
          <w:p w:rsidRPr="00597C44" w:rsidR="00597C44" w:rsidP="00597C44" w:rsidRDefault="00597C44" w14:paraId="599BFD0F" w14:textId="72552444">
            <w:pPr>
              <w:ind w:right="-18"/>
              <w:jc w:val="center"/>
              <w:rPr>
                <w:rFonts w:ascii="Arial" w:hAnsi="Arial" w:cs="Arial"/>
              </w:rPr>
            </w:pPr>
            <w:r w:rsidRPr="00597C44">
              <w:rPr>
                <w:rFonts w:ascii="Arial" w:hAnsi="Arial" w:cs="Arial"/>
              </w:rPr>
              <w:t>-</w:t>
            </w:r>
          </w:p>
        </w:tc>
        <w:tc>
          <w:tcPr>
            <w:tcW w:w="1084" w:type="dxa"/>
            <w:shd w:val="clear" w:color="auto" w:fill="A6A6A6" w:themeFill="background1" w:themeFillShade="A6"/>
          </w:tcPr>
          <w:p w:rsidRPr="0090123D" w:rsidR="00597C44" w:rsidP="00597C44" w:rsidRDefault="00545ADC" w14:paraId="504817F1" w14:textId="3285EB68">
            <w:pPr>
              <w:ind w:right="-18"/>
              <w:jc w:val="center"/>
              <w:rPr>
                <w:rFonts w:ascii="Arial" w:hAnsi="Arial" w:cs="Arial"/>
              </w:rPr>
            </w:pPr>
            <w:r>
              <w:rPr>
                <w:rFonts w:ascii="Arial" w:hAnsi="Arial" w:cs="Arial"/>
              </w:rPr>
              <w:t>0</w:t>
            </w:r>
          </w:p>
        </w:tc>
      </w:tr>
    </w:tbl>
    <w:p w:rsidRPr="00555156" w:rsidR="008C0DF7" w:rsidP="0074373E" w:rsidRDefault="008C0DF7" w14:paraId="7641C8E9" w14:textId="77777777">
      <w:pPr>
        <w:spacing w:after="0" w:line="240" w:lineRule="auto"/>
        <w:ind w:left="-360" w:right="-806"/>
        <w:rPr>
          <w:rFonts w:ascii="Arial" w:hAnsi="Arial" w:cs="Arial"/>
          <w:b/>
          <w:color w:val="4472C4" w:themeColor="accent5"/>
          <w:sz w:val="36"/>
          <w:szCs w:val="24"/>
        </w:rPr>
      </w:pPr>
    </w:p>
    <w:p w:rsidRPr="00233DBF" w:rsidR="008C0DF7" w:rsidP="00233DBF" w:rsidRDefault="008C0DF7" w14:paraId="68E195B8" w14:textId="5CDB773A">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Projects/activities</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A)</w:t>
      </w:r>
    </w:p>
    <w:p w:rsidR="004E455C" w:rsidP="008C0DF7" w:rsidRDefault="004E455C" w14:paraId="43CB857F" w14:textId="03614D28">
      <w:pPr>
        <w:spacing w:after="0" w:line="240" w:lineRule="auto"/>
        <w:ind w:left="-360" w:right="-806"/>
        <w:rPr>
          <w:rFonts w:ascii="Arial" w:hAnsi="Arial" w:cs="Arial"/>
          <w:b/>
          <w:color w:val="4472C4" w:themeColor="accent5"/>
          <w:sz w:val="28"/>
          <w:szCs w:val="24"/>
        </w:rPr>
      </w:pPr>
    </w:p>
    <w:p w:rsidR="002F17DA" w:rsidP="002F17DA" w:rsidRDefault="002F17DA" w14:paraId="496835EE" w14:textId="77777777">
      <w:pPr>
        <w:spacing w:after="120" w:line="240" w:lineRule="auto"/>
        <w:ind w:left="-357" w:right="-805"/>
        <w:rPr>
          <w:rFonts w:ascii="Arial" w:hAnsi="Arial" w:cs="Arial"/>
          <w:b/>
          <w:color w:val="0070C0"/>
          <w:sz w:val="24"/>
          <w:szCs w:val="24"/>
        </w:rPr>
      </w:pPr>
      <w:r w:rsidRPr="00F957FE">
        <w:rPr>
          <w:rFonts w:ascii="Arial" w:hAnsi="Arial" w:cs="Arial"/>
          <w:b/>
          <w:color w:val="0070C0"/>
          <w:sz w:val="24"/>
          <w:szCs w:val="24"/>
        </w:rPr>
        <w:t xml:space="preserve">Blue </w:t>
      </w:r>
      <w:r>
        <w:rPr>
          <w:rFonts w:ascii="Arial" w:hAnsi="Arial" w:cs="Arial"/>
          <w:b/>
          <w:color w:val="0070C0"/>
          <w:sz w:val="24"/>
          <w:szCs w:val="24"/>
        </w:rPr>
        <w:t>highlights –</w:t>
      </w:r>
      <w:r w:rsidRPr="00F957FE">
        <w:rPr>
          <w:rFonts w:ascii="Arial" w:hAnsi="Arial" w:cs="Arial"/>
          <w:b/>
          <w:color w:val="0070C0"/>
          <w:sz w:val="24"/>
          <w:szCs w:val="24"/>
        </w:rPr>
        <w:t xml:space="preserve"> completed</w:t>
      </w:r>
      <w:r>
        <w:rPr>
          <w:rFonts w:ascii="Arial" w:hAnsi="Arial" w:cs="Arial"/>
          <w:b/>
          <w:color w:val="0070C0"/>
          <w:sz w:val="24"/>
          <w:szCs w:val="24"/>
        </w:rPr>
        <w:t xml:space="preserve"> this quarter</w:t>
      </w:r>
    </w:p>
    <w:p w:rsidRPr="00DE0E50" w:rsidR="00DE0E50" w:rsidP="00DE0E50" w:rsidRDefault="00DE0E50" w14:paraId="615613A8" w14:textId="77777777">
      <w:pPr>
        <w:pStyle w:val="ListParagraph"/>
        <w:numPr>
          <w:ilvl w:val="0"/>
          <w:numId w:val="19"/>
        </w:numPr>
        <w:ind w:left="0" w:hanging="284"/>
        <w:rPr>
          <w:rFonts w:ascii="Arial" w:hAnsi="Arial" w:cs="Arial"/>
        </w:rPr>
      </w:pPr>
      <w:r w:rsidRPr="00DE0E50">
        <w:rPr>
          <w:rFonts w:ascii="Arial" w:hAnsi="Arial" w:cs="Arial"/>
        </w:rPr>
        <w:t>The Big Allerdale Switch has been run three times in 2018/19 as planned and has received positive feedback as well as savings residents’ money on their energy bills. (2.7a)</w:t>
      </w:r>
    </w:p>
    <w:p w:rsidR="00176393" w:rsidP="009C1CF3" w:rsidRDefault="00176393" w14:paraId="1C65DA02" w14:textId="599317E5">
      <w:pPr>
        <w:spacing w:after="120" w:line="240" w:lineRule="auto"/>
        <w:ind w:left="-357" w:right="-805"/>
        <w:rPr>
          <w:rFonts w:ascii="Arial" w:hAnsi="Arial" w:cs="Arial"/>
          <w:b/>
          <w:color w:val="4472C4" w:themeColor="accent5"/>
          <w:sz w:val="28"/>
          <w:szCs w:val="24"/>
        </w:rPr>
      </w:pPr>
      <w:r w:rsidRPr="00AE4C66">
        <w:rPr>
          <w:rFonts w:ascii="Arial" w:hAnsi="Arial" w:cs="Arial"/>
          <w:b/>
          <w:color w:val="00B050"/>
          <w:sz w:val="24"/>
          <w:szCs w:val="24"/>
        </w:rPr>
        <w:t>Green highlights</w:t>
      </w:r>
    </w:p>
    <w:p w:rsidRPr="000B4279" w:rsidR="00E91213" w:rsidP="000B4279" w:rsidRDefault="00F407A9" w14:paraId="3CF9BB1A" w14:textId="0B4A66E2">
      <w:pPr>
        <w:pStyle w:val="ListParagraph"/>
        <w:numPr>
          <w:ilvl w:val="0"/>
          <w:numId w:val="19"/>
        </w:numPr>
        <w:spacing w:after="120" w:line="240" w:lineRule="auto"/>
        <w:ind w:left="0" w:right="-612" w:hanging="284"/>
        <w:contextualSpacing w:val="0"/>
        <w:rPr>
          <w:rFonts w:ascii="Arial" w:hAnsi="Arial" w:cs="Arial"/>
        </w:rPr>
      </w:pPr>
      <w:r w:rsidRPr="000B4279">
        <w:rPr>
          <w:rFonts w:ascii="Arial" w:hAnsi="Arial" w:cs="Arial"/>
        </w:rPr>
        <w:t>We have brought partners together to form the Allerdale Work and Skills Partnership which aims to better join up needs of businesses, training and skills. (2.1)</w:t>
      </w:r>
    </w:p>
    <w:p w:rsidRPr="00F407A9" w:rsidR="002F2B3B" w:rsidP="000B4279" w:rsidRDefault="002F2B3B" w14:paraId="21572874" w14:textId="5F4E7441">
      <w:pPr>
        <w:pStyle w:val="ListParagraph"/>
        <w:numPr>
          <w:ilvl w:val="0"/>
          <w:numId w:val="19"/>
        </w:numPr>
        <w:spacing w:after="120" w:line="240" w:lineRule="auto"/>
        <w:ind w:left="0" w:right="-612" w:hanging="284"/>
        <w:contextualSpacing w:val="0"/>
        <w:rPr>
          <w:rFonts w:ascii="Arial" w:hAnsi="Arial" w:cs="Arial"/>
        </w:rPr>
      </w:pPr>
      <w:r w:rsidRPr="000B4279">
        <w:rPr>
          <w:rFonts w:ascii="Arial" w:hAnsi="Arial" w:cs="Arial"/>
          <w:szCs w:val="23"/>
        </w:rPr>
        <w:t xml:space="preserve">Supporting Community Land Trusts </w:t>
      </w:r>
      <w:r w:rsidRPr="000B4279" w:rsidR="00F407A9">
        <w:rPr>
          <w:rFonts w:ascii="Arial" w:hAnsi="Arial" w:cs="Arial"/>
          <w:szCs w:val="23"/>
        </w:rPr>
        <w:t>–</w:t>
      </w:r>
      <w:r w:rsidRPr="000B4279">
        <w:rPr>
          <w:rFonts w:ascii="Arial" w:hAnsi="Arial" w:cs="Arial"/>
          <w:szCs w:val="23"/>
        </w:rPr>
        <w:t xml:space="preserve"> </w:t>
      </w:r>
      <w:r w:rsidRPr="000B4279" w:rsidR="00F407A9">
        <w:rPr>
          <w:rFonts w:ascii="Arial" w:hAnsi="Arial" w:cs="Arial"/>
          <w:szCs w:val="23"/>
        </w:rPr>
        <w:t xml:space="preserve">good progress with </w:t>
      </w:r>
      <w:r w:rsidRPr="000B4279" w:rsidR="00F407A9">
        <w:rPr>
          <w:rFonts w:ascii="Arial" w:hAnsi="Arial" w:cs="Arial"/>
        </w:rPr>
        <w:t xml:space="preserve">the Above Derwent Community Land Trust, the Keswick Youth Community and Housing initiative, Keswick Community Housing Trust and Caldbeck Parish Council. </w:t>
      </w:r>
      <w:r w:rsidRPr="000B4279">
        <w:rPr>
          <w:rFonts w:ascii="Arial" w:hAnsi="Arial" w:cs="Arial"/>
        </w:rPr>
        <w:t>(</w:t>
      </w:r>
      <w:r w:rsidRPr="00F407A9">
        <w:rPr>
          <w:rFonts w:ascii="Arial" w:hAnsi="Arial" w:cs="Arial"/>
        </w:rPr>
        <w:t>2.4a)</w:t>
      </w:r>
    </w:p>
    <w:p w:rsidRPr="00176393" w:rsidR="00336D82" w:rsidP="008C0DF7" w:rsidRDefault="00336D82" w14:paraId="33848276" w14:textId="77777777">
      <w:pPr>
        <w:spacing w:after="0" w:line="240" w:lineRule="auto"/>
        <w:ind w:left="-360" w:right="-806"/>
        <w:rPr>
          <w:rFonts w:ascii="Arial" w:hAnsi="Arial" w:cs="Arial"/>
          <w:b/>
          <w:color w:val="4472C4" w:themeColor="accent5"/>
        </w:rPr>
      </w:pPr>
    </w:p>
    <w:p w:rsidRPr="00233DBF" w:rsidR="008C0DF7" w:rsidP="00233DBF" w:rsidRDefault="008C0DF7" w14:paraId="7E4943B6" w14:textId="460D26D4">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Key performance indicators</w:t>
      </w:r>
      <w:r w:rsidR="001B0F23">
        <w:rPr>
          <w:rFonts w:ascii="Arial" w:hAnsi="Arial" w:cs="Arial"/>
          <w:b/>
          <w:color w:val="000000" w:themeColor="text1"/>
          <w:sz w:val="28"/>
          <w:szCs w:val="24"/>
        </w:rPr>
        <w:t xml:space="preserve"> (annual outturn)</w:t>
      </w:r>
      <w:r w:rsidR="001B0F23">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B)</w:t>
      </w:r>
    </w:p>
    <w:p w:rsidR="008C0DF7" w:rsidP="008C0DF7" w:rsidRDefault="008C0DF7" w14:paraId="5BB79560" w14:textId="6E4BB1F1">
      <w:pPr>
        <w:spacing w:after="0" w:line="240" w:lineRule="auto"/>
        <w:ind w:left="-360" w:right="-806"/>
        <w:rPr>
          <w:rFonts w:ascii="Arial" w:hAnsi="Arial" w:cs="Arial"/>
          <w:sz w:val="18"/>
          <w:szCs w:val="24"/>
        </w:rPr>
      </w:pPr>
    </w:p>
    <w:p w:rsidR="00545ADC" w:rsidP="00545ADC" w:rsidRDefault="00545ADC" w14:paraId="35E3967C" w14:textId="77777777">
      <w:pPr>
        <w:spacing w:after="120" w:line="240" w:lineRule="auto"/>
        <w:ind w:left="-357" w:right="-805"/>
        <w:rPr>
          <w:rFonts w:ascii="Arial" w:hAnsi="Arial" w:cs="Arial"/>
          <w:sz w:val="24"/>
          <w:szCs w:val="24"/>
        </w:rPr>
      </w:pPr>
      <w:r w:rsidRPr="00AE4C66">
        <w:rPr>
          <w:rFonts w:ascii="Arial" w:hAnsi="Arial" w:cs="Arial"/>
          <w:b/>
          <w:color w:val="00B050"/>
          <w:sz w:val="24"/>
          <w:szCs w:val="24"/>
        </w:rPr>
        <w:t>Green highlights</w:t>
      </w:r>
    </w:p>
    <w:p w:rsidRPr="005F773A" w:rsidR="00545ADC" w:rsidP="00573C5D" w:rsidRDefault="00573C5D" w14:paraId="7710D295" w14:textId="1E93A798">
      <w:pPr>
        <w:pStyle w:val="ListParagraph"/>
        <w:numPr>
          <w:ilvl w:val="0"/>
          <w:numId w:val="18"/>
        </w:numPr>
        <w:spacing w:after="80" w:line="240" w:lineRule="auto"/>
        <w:ind w:left="0" w:right="-805" w:hanging="284"/>
        <w:contextualSpacing w:val="0"/>
        <w:rPr>
          <w:rFonts w:ascii="Arial" w:hAnsi="Arial" w:cs="Arial"/>
        </w:rPr>
      </w:pPr>
      <w:r>
        <w:rPr>
          <w:rFonts w:ascii="Arial" w:hAnsi="Arial" w:cs="Arial"/>
        </w:rPr>
        <w:t>Benefit processing times have exceeded target (KCTC01a, 01b and 02)</w:t>
      </w:r>
    </w:p>
    <w:p w:rsidRPr="005F773A" w:rsidR="00545ADC" w:rsidP="00573C5D" w:rsidRDefault="00573C5D" w14:paraId="5B6B9F87" w14:textId="4551890B">
      <w:pPr>
        <w:pStyle w:val="ListParagraph"/>
        <w:numPr>
          <w:ilvl w:val="0"/>
          <w:numId w:val="18"/>
        </w:numPr>
        <w:spacing w:after="80" w:line="240" w:lineRule="auto"/>
        <w:ind w:left="0" w:right="-805" w:hanging="284"/>
        <w:contextualSpacing w:val="0"/>
        <w:rPr>
          <w:rFonts w:ascii="Arial" w:hAnsi="Arial" w:cs="Arial"/>
        </w:rPr>
      </w:pPr>
      <w:r>
        <w:rPr>
          <w:rFonts w:ascii="Arial" w:hAnsi="Arial" w:cs="Arial"/>
        </w:rPr>
        <w:t>All homelessness decisions were made within the guideline 56 days (KHH04a)</w:t>
      </w:r>
    </w:p>
    <w:p w:rsidRPr="00F05F84" w:rsidR="00545ADC" w:rsidP="00573C5D" w:rsidRDefault="00545ADC" w14:paraId="032FF44E" w14:textId="755CBDB8">
      <w:pPr>
        <w:spacing w:before="200" w:after="120" w:line="240" w:lineRule="auto"/>
        <w:ind w:left="-357" w:right="-805"/>
        <w:rPr>
          <w:rFonts w:ascii="Arial" w:hAnsi="Arial" w:cs="Arial"/>
          <w:b/>
          <w:color w:val="C00000"/>
          <w:szCs w:val="24"/>
        </w:rPr>
      </w:pPr>
      <w:r w:rsidRPr="00547161">
        <w:rPr>
          <w:rFonts w:ascii="Arial" w:hAnsi="Arial" w:cs="Arial"/>
          <w:b/>
          <w:color w:val="C00000"/>
          <w:sz w:val="24"/>
          <w:szCs w:val="24"/>
        </w:rPr>
        <w:t xml:space="preserve">Red </w:t>
      </w:r>
    </w:p>
    <w:p w:rsidRPr="00F05F84" w:rsidR="00F05F84" w:rsidP="00F05F84" w:rsidRDefault="00F05F84" w14:paraId="0DB53DAA" w14:textId="79EA599D">
      <w:pPr>
        <w:pStyle w:val="Default"/>
        <w:numPr>
          <w:ilvl w:val="0"/>
          <w:numId w:val="38"/>
        </w:numPr>
        <w:ind w:left="0" w:hanging="284"/>
        <w:rPr>
          <w:sz w:val="22"/>
          <w:szCs w:val="23"/>
        </w:rPr>
      </w:pPr>
      <w:r w:rsidRPr="00BA7266">
        <w:rPr>
          <w:sz w:val="22"/>
          <w:szCs w:val="23"/>
        </w:rPr>
        <w:t>Number of affordable homes facilitated by the Council – 79 against a target of 100. (KHH01)</w:t>
      </w:r>
      <w:r w:rsidR="00BA7266">
        <w:rPr>
          <w:sz w:val="22"/>
          <w:szCs w:val="23"/>
        </w:rPr>
        <w:t xml:space="preserve"> We continue to work proactively with developers and housing associations to try and maximise affordable housing delivery, however, we have limited control over delivery rates which are largely determined by developer output.</w:t>
      </w:r>
    </w:p>
    <w:p w:rsidRPr="00870308" w:rsidR="00F05F84" w:rsidP="00545ADC" w:rsidRDefault="00F05F84" w14:paraId="20C7F3FE" w14:textId="77777777">
      <w:pPr>
        <w:spacing w:after="120" w:line="240" w:lineRule="auto"/>
        <w:ind w:left="-360" w:right="-806"/>
        <w:rPr>
          <w:rFonts w:ascii="Arial" w:hAnsi="Arial" w:cs="Arial"/>
          <w:highlight w:val="yellow"/>
        </w:rPr>
      </w:pPr>
    </w:p>
    <w:p w:rsidR="007D3C37" w:rsidRDefault="007D3C37" w14:paraId="3DD75C8D" w14:textId="10446A08">
      <w:pPr>
        <w:rPr>
          <w:rFonts w:ascii="Arial" w:hAnsi="Arial" w:cs="Arial"/>
          <w:sz w:val="24"/>
          <w:szCs w:val="24"/>
        </w:rPr>
      </w:pPr>
      <w:r>
        <w:rPr>
          <w:rFonts w:ascii="Arial" w:hAnsi="Arial" w:cs="Arial"/>
          <w:sz w:val="24"/>
          <w:szCs w:val="24"/>
        </w:rPr>
        <w:br w:type="page"/>
      </w:r>
    </w:p>
    <w:p w:rsidRPr="00C564E3" w:rsidR="007D3C37" w:rsidP="009C67F5" w:rsidRDefault="007D3C37" w14:paraId="2C58BB9A" w14:textId="6898AE1D">
      <w:pPr>
        <w:spacing w:after="80" w:line="240" w:lineRule="auto"/>
        <w:ind w:left="-357" w:right="-805"/>
        <w:rPr>
          <w:rFonts w:ascii="Arial" w:hAnsi="Arial" w:cs="Arial"/>
          <w:b/>
          <w:color w:val="4472C4" w:themeColor="accent5"/>
          <w:sz w:val="44"/>
        </w:rPr>
      </w:pPr>
      <w:r w:rsidRPr="00C564E3">
        <w:rPr>
          <w:rFonts w:ascii="Arial" w:hAnsi="Arial" w:cs="Arial"/>
          <w:b/>
          <w:color w:val="4472C4" w:themeColor="accent5"/>
          <w:sz w:val="44"/>
        </w:rPr>
        <w:lastRenderedPageBreak/>
        <w:t>Enhancing our towns summary</w:t>
      </w:r>
    </w:p>
    <w:p w:rsidRPr="00FE6643" w:rsidR="007D3C37" w:rsidP="009C67F5" w:rsidRDefault="007D3C37" w14:paraId="232033B7" w14:textId="164D4E33">
      <w:pPr>
        <w:spacing w:after="0" w:line="240" w:lineRule="auto"/>
        <w:ind w:left="-357" w:right="-811"/>
        <w:rPr>
          <w:rFonts w:ascii="Segoe Print" w:hAnsi="Segoe Print" w:cs="Arial"/>
          <w:color w:val="1F4E79" w:themeColor="accent1" w:themeShade="80"/>
          <w:sz w:val="24"/>
        </w:rPr>
      </w:pPr>
      <w:r w:rsidRPr="00FE6643">
        <w:rPr>
          <w:rFonts w:ascii="Segoe Print" w:hAnsi="Segoe Print" w:cs="Arial"/>
          <w:color w:val="1F4E79" w:themeColor="accent1" w:themeShade="80"/>
          <w:sz w:val="24"/>
        </w:rPr>
        <w:t>We aim to create thriving towns that are attractive and welcoming and retain their distinctive characters</w:t>
      </w:r>
    </w:p>
    <w:p w:rsidRPr="00FE6643" w:rsidR="00555156" w:rsidP="00555156" w:rsidRDefault="00555156" w14:paraId="5D65F5F9" w14:textId="77777777">
      <w:pPr>
        <w:spacing w:after="0" w:line="240" w:lineRule="auto"/>
        <w:ind w:left="-360" w:right="-806"/>
        <w:rPr>
          <w:rFonts w:ascii="Arial" w:hAnsi="Arial" w:cs="Arial"/>
          <w:sz w:val="32"/>
          <w:szCs w:val="24"/>
        </w:rPr>
      </w:pPr>
    </w:p>
    <w:tbl>
      <w:tblPr>
        <w:tblStyle w:val="TableGrid"/>
        <w:tblW w:w="9975" w:type="dxa"/>
        <w:tblInd w:w="-360" w:type="dxa"/>
        <w:tblLook w:val="04A0" w:firstRow="1" w:lastRow="0" w:firstColumn="1" w:lastColumn="0" w:noHBand="0" w:noVBand="1"/>
      </w:tblPr>
      <w:tblGrid>
        <w:gridCol w:w="3616"/>
        <w:gridCol w:w="1049"/>
        <w:gridCol w:w="1020"/>
        <w:gridCol w:w="1093"/>
        <w:gridCol w:w="1077"/>
        <w:gridCol w:w="1036"/>
        <w:gridCol w:w="1084"/>
      </w:tblGrid>
      <w:tr w:rsidRPr="00B80396" w:rsidR="00555156" w:rsidTr="00FA587D" w14:paraId="01CBC129" w14:textId="77777777">
        <w:tc>
          <w:tcPr>
            <w:tcW w:w="3616" w:type="dxa"/>
          </w:tcPr>
          <w:p w:rsidRPr="00555156" w:rsidR="00555156" w:rsidP="008B6466" w:rsidRDefault="00555156" w14:paraId="2B9A4BD1" w14:textId="4BB2CFF6">
            <w:pPr>
              <w:ind w:right="-33"/>
              <w:rPr>
                <w:rFonts w:ascii="Arial" w:hAnsi="Arial" w:cs="Arial"/>
                <w:b/>
              </w:rPr>
            </w:pPr>
            <w:r w:rsidRPr="00555156">
              <w:rPr>
                <w:rFonts w:ascii="Arial" w:hAnsi="Arial" w:cs="Arial"/>
                <w:b/>
              </w:rPr>
              <w:t xml:space="preserve">Summary of Quarter </w:t>
            </w:r>
            <w:r w:rsidR="008B6466">
              <w:rPr>
                <w:rFonts w:ascii="Arial" w:hAnsi="Arial" w:cs="Arial"/>
                <w:b/>
              </w:rPr>
              <w:t>4</w:t>
            </w:r>
            <w:r w:rsidRPr="00555156">
              <w:rPr>
                <w:rFonts w:ascii="Arial" w:hAnsi="Arial" w:cs="Arial"/>
                <w:b/>
              </w:rPr>
              <w:t xml:space="preserve"> position</w:t>
            </w:r>
          </w:p>
        </w:tc>
        <w:tc>
          <w:tcPr>
            <w:tcW w:w="1049" w:type="dxa"/>
          </w:tcPr>
          <w:p w:rsidRPr="00555156" w:rsidR="00555156" w:rsidP="00FA587D" w:rsidRDefault="00555156" w14:paraId="595B5C27" w14:textId="77777777">
            <w:pPr>
              <w:ind w:right="-18"/>
              <w:jc w:val="center"/>
              <w:rPr>
                <w:rFonts w:ascii="Arial" w:hAnsi="Arial" w:cs="Arial"/>
                <w:b/>
              </w:rPr>
            </w:pPr>
            <w:r w:rsidRPr="00555156">
              <w:rPr>
                <w:rFonts w:ascii="Arial" w:hAnsi="Arial" w:cs="Arial"/>
                <w:b/>
              </w:rPr>
              <w:t>Total</w:t>
            </w:r>
          </w:p>
        </w:tc>
        <w:tc>
          <w:tcPr>
            <w:tcW w:w="1020" w:type="dxa"/>
            <w:shd w:val="clear" w:color="auto" w:fill="C00000"/>
          </w:tcPr>
          <w:p w:rsidRPr="00555156" w:rsidR="00555156" w:rsidP="00FA587D" w:rsidRDefault="00555156" w14:paraId="20EB2C19" w14:textId="77777777">
            <w:pPr>
              <w:ind w:right="-18"/>
              <w:jc w:val="center"/>
              <w:rPr>
                <w:rFonts w:ascii="Arial" w:hAnsi="Arial" w:cs="Arial"/>
                <w:b/>
              </w:rPr>
            </w:pPr>
            <w:r w:rsidRPr="00555156">
              <w:rPr>
                <w:rFonts w:ascii="Arial" w:hAnsi="Arial" w:cs="Arial"/>
                <w:b/>
                <w:color w:val="000000" w:themeColor="text1"/>
              </w:rPr>
              <w:t>Red</w:t>
            </w:r>
          </w:p>
        </w:tc>
        <w:tc>
          <w:tcPr>
            <w:tcW w:w="1093" w:type="dxa"/>
            <w:shd w:val="clear" w:color="auto" w:fill="FFC000"/>
          </w:tcPr>
          <w:p w:rsidRPr="00555156" w:rsidR="00555156" w:rsidP="00FA587D" w:rsidRDefault="00555156" w14:paraId="79076C15" w14:textId="77777777">
            <w:pPr>
              <w:jc w:val="center"/>
              <w:rPr>
                <w:rFonts w:ascii="Arial" w:hAnsi="Arial" w:cs="Arial"/>
                <w:b/>
              </w:rPr>
            </w:pPr>
            <w:r w:rsidRPr="00555156">
              <w:rPr>
                <w:rFonts w:ascii="Arial" w:hAnsi="Arial" w:cs="Arial"/>
                <w:b/>
              </w:rPr>
              <w:t>Amber</w:t>
            </w:r>
          </w:p>
        </w:tc>
        <w:tc>
          <w:tcPr>
            <w:tcW w:w="1077" w:type="dxa"/>
            <w:shd w:val="clear" w:color="auto" w:fill="00B050"/>
          </w:tcPr>
          <w:p w:rsidRPr="00555156" w:rsidR="00555156" w:rsidP="00FA587D" w:rsidRDefault="00555156" w14:paraId="2CCA59E4" w14:textId="77777777">
            <w:pPr>
              <w:ind w:right="-18"/>
              <w:jc w:val="center"/>
              <w:rPr>
                <w:rFonts w:ascii="Arial" w:hAnsi="Arial" w:cs="Arial"/>
                <w:b/>
              </w:rPr>
            </w:pPr>
            <w:r w:rsidRPr="00555156">
              <w:rPr>
                <w:rFonts w:ascii="Arial" w:hAnsi="Arial" w:cs="Arial"/>
                <w:b/>
              </w:rPr>
              <w:t>Green</w:t>
            </w:r>
          </w:p>
        </w:tc>
        <w:tc>
          <w:tcPr>
            <w:tcW w:w="1036" w:type="dxa"/>
            <w:shd w:val="clear" w:color="auto" w:fill="0070C0"/>
          </w:tcPr>
          <w:p w:rsidRPr="00555156" w:rsidR="00555156" w:rsidP="00FA587D" w:rsidRDefault="00555156" w14:paraId="69E747D5" w14:textId="77777777">
            <w:pPr>
              <w:ind w:right="-18"/>
              <w:jc w:val="center"/>
              <w:rPr>
                <w:rFonts w:ascii="Arial" w:hAnsi="Arial" w:cs="Arial"/>
                <w:b/>
              </w:rPr>
            </w:pPr>
            <w:r w:rsidRPr="00555156">
              <w:rPr>
                <w:rFonts w:ascii="Arial" w:hAnsi="Arial" w:cs="Arial"/>
                <w:b/>
              </w:rPr>
              <w:t>Blue</w:t>
            </w:r>
          </w:p>
        </w:tc>
        <w:tc>
          <w:tcPr>
            <w:tcW w:w="1084" w:type="dxa"/>
            <w:shd w:val="clear" w:color="auto" w:fill="A6A6A6" w:themeFill="background1" w:themeFillShade="A6"/>
          </w:tcPr>
          <w:p w:rsidRPr="00555156" w:rsidR="00555156" w:rsidP="00FA587D" w:rsidRDefault="00555156" w14:paraId="68BBA592" w14:textId="77777777">
            <w:pPr>
              <w:ind w:right="-18"/>
              <w:jc w:val="center"/>
              <w:rPr>
                <w:rFonts w:ascii="Arial" w:hAnsi="Arial" w:cs="Arial"/>
                <w:b/>
              </w:rPr>
            </w:pPr>
            <w:r w:rsidRPr="00555156">
              <w:rPr>
                <w:rFonts w:ascii="Arial" w:hAnsi="Arial" w:cs="Arial"/>
                <w:b/>
              </w:rPr>
              <w:t>Not targeted</w:t>
            </w:r>
          </w:p>
        </w:tc>
      </w:tr>
      <w:tr w:rsidR="00555156" w:rsidTr="00FA587D" w14:paraId="339DE405" w14:textId="77777777">
        <w:tc>
          <w:tcPr>
            <w:tcW w:w="3616" w:type="dxa"/>
          </w:tcPr>
          <w:p w:rsidRPr="00555156" w:rsidR="00555156" w:rsidP="00555156" w:rsidRDefault="00555156" w14:paraId="00BE03B0" w14:textId="77777777">
            <w:pPr>
              <w:ind w:right="-18"/>
              <w:rPr>
                <w:rFonts w:ascii="Arial" w:hAnsi="Arial" w:cs="Arial"/>
              </w:rPr>
            </w:pPr>
            <w:r w:rsidRPr="00555156">
              <w:rPr>
                <w:rFonts w:ascii="Arial" w:hAnsi="Arial" w:cs="Arial"/>
              </w:rPr>
              <w:t>Projects/activities</w:t>
            </w:r>
          </w:p>
        </w:tc>
        <w:tc>
          <w:tcPr>
            <w:tcW w:w="1049" w:type="dxa"/>
          </w:tcPr>
          <w:p w:rsidRPr="00785F35" w:rsidR="00555156" w:rsidP="00555156" w:rsidRDefault="00F75EEF" w14:paraId="14A0167D" w14:textId="4EA39692">
            <w:pPr>
              <w:jc w:val="center"/>
              <w:rPr>
                <w:rFonts w:ascii="Arial" w:hAnsi="Arial" w:cs="Arial"/>
                <w:highlight w:val="yellow"/>
              </w:rPr>
            </w:pPr>
            <w:r w:rsidRPr="006760CC">
              <w:rPr>
                <w:rFonts w:ascii="Arial" w:hAnsi="Arial" w:cs="Arial"/>
              </w:rPr>
              <w:t>25</w:t>
            </w:r>
          </w:p>
        </w:tc>
        <w:tc>
          <w:tcPr>
            <w:tcW w:w="1020" w:type="dxa"/>
            <w:shd w:val="clear" w:color="auto" w:fill="C00000"/>
          </w:tcPr>
          <w:p w:rsidRPr="006760CC" w:rsidR="00555156" w:rsidP="00555156" w:rsidRDefault="00785F35" w14:paraId="5C8B6F93" w14:textId="346F2579">
            <w:pPr>
              <w:ind w:right="-18"/>
              <w:jc w:val="center"/>
              <w:rPr>
                <w:rFonts w:ascii="Arial" w:hAnsi="Arial" w:cs="Arial"/>
              </w:rPr>
            </w:pPr>
            <w:r w:rsidRPr="006760CC">
              <w:rPr>
                <w:rFonts w:ascii="Arial" w:hAnsi="Arial" w:cs="Arial"/>
              </w:rPr>
              <w:t>0</w:t>
            </w:r>
          </w:p>
        </w:tc>
        <w:tc>
          <w:tcPr>
            <w:tcW w:w="1093" w:type="dxa"/>
            <w:shd w:val="clear" w:color="auto" w:fill="FFC000"/>
          </w:tcPr>
          <w:p w:rsidRPr="006760CC" w:rsidR="00555156" w:rsidP="00555156" w:rsidRDefault="006760CC" w14:paraId="6C4453FD" w14:textId="64ABF4B0">
            <w:pPr>
              <w:ind w:right="-108"/>
              <w:jc w:val="center"/>
              <w:rPr>
                <w:rFonts w:ascii="Arial" w:hAnsi="Arial" w:cs="Arial"/>
              </w:rPr>
            </w:pPr>
            <w:r>
              <w:rPr>
                <w:rFonts w:ascii="Arial" w:hAnsi="Arial" w:cs="Arial"/>
              </w:rPr>
              <w:t>6</w:t>
            </w:r>
          </w:p>
        </w:tc>
        <w:tc>
          <w:tcPr>
            <w:tcW w:w="1077" w:type="dxa"/>
            <w:shd w:val="clear" w:color="auto" w:fill="00B050"/>
          </w:tcPr>
          <w:p w:rsidRPr="006760CC" w:rsidR="00555156" w:rsidP="00555156" w:rsidRDefault="00657E40" w14:paraId="1457116A" w14:textId="56D70C2F">
            <w:pPr>
              <w:ind w:right="-18"/>
              <w:jc w:val="center"/>
              <w:rPr>
                <w:rFonts w:ascii="Arial" w:hAnsi="Arial" w:cs="Arial"/>
              </w:rPr>
            </w:pPr>
            <w:r>
              <w:rPr>
                <w:rFonts w:ascii="Arial" w:hAnsi="Arial" w:cs="Arial"/>
              </w:rPr>
              <w:t>8</w:t>
            </w:r>
          </w:p>
        </w:tc>
        <w:tc>
          <w:tcPr>
            <w:tcW w:w="1036" w:type="dxa"/>
            <w:shd w:val="clear" w:color="auto" w:fill="0070C0"/>
          </w:tcPr>
          <w:p w:rsidRPr="006760CC" w:rsidR="00555156" w:rsidP="00555156" w:rsidRDefault="00657E40" w14:paraId="6B43D6C3" w14:textId="0AD8D68A">
            <w:pPr>
              <w:ind w:right="-18"/>
              <w:jc w:val="center"/>
              <w:rPr>
                <w:rFonts w:ascii="Arial" w:hAnsi="Arial" w:cs="Arial"/>
              </w:rPr>
            </w:pPr>
            <w:r>
              <w:rPr>
                <w:rFonts w:ascii="Arial" w:hAnsi="Arial" w:cs="Arial"/>
              </w:rPr>
              <w:t>11</w:t>
            </w:r>
          </w:p>
        </w:tc>
        <w:tc>
          <w:tcPr>
            <w:tcW w:w="1084" w:type="dxa"/>
            <w:shd w:val="clear" w:color="auto" w:fill="A6A6A6" w:themeFill="background1" w:themeFillShade="A6"/>
          </w:tcPr>
          <w:p w:rsidRPr="0090123D" w:rsidR="00555156" w:rsidP="00555156" w:rsidRDefault="00555156" w14:paraId="2492ED14" w14:textId="77777777">
            <w:pPr>
              <w:ind w:right="-18"/>
              <w:jc w:val="center"/>
              <w:rPr>
                <w:rFonts w:ascii="Arial" w:hAnsi="Arial" w:cs="Arial"/>
              </w:rPr>
            </w:pPr>
            <w:r w:rsidRPr="0090123D">
              <w:rPr>
                <w:rFonts w:ascii="Arial" w:hAnsi="Arial" w:cs="Arial"/>
              </w:rPr>
              <w:t>-</w:t>
            </w:r>
          </w:p>
        </w:tc>
      </w:tr>
      <w:tr w:rsidR="00597C44" w:rsidTr="00FA587D" w14:paraId="34D10D6A" w14:textId="77777777">
        <w:tc>
          <w:tcPr>
            <w:tcW w:w="3616" w:type="dxa"/>
          </w:tcPr>
          <w:p w:rsidRPr="00555156" w:rsidR="00597C44" w:rsidP="00597C44" w:rsidRDefault="00597C44" w14:paraId="4B415FCB" w14:textId="697FBA15">
            <w:pPr>
              <w:ind w:right="-18"/>
              <w:rPr>
                <w:rFonts w:ascii="Arial" w:hAnsi="Arial" w:cs="Arial"/>
              </w:rPr>
            </w:pPr>
            <w:r w:rsidRPr="00555156">
              <w:rPr>
                <w:rFonts w:ascii="Arial" w:hAnsi="Arial" w:cs="Arial"/>
              </w:rPr>
              <w:t>KPIs</w:t>
            </w:r>
            <w:r>
              <w:rPr>
                <w:rFonts w:ascii="Arial" w:hAnsi="Arial" w:cs="Arial"/>
              </w:rPr>
              <w:t xml:space="preserve"> (Q4 value)</w:t>
            </w:r>
          </w:p>
        </w:tc>
        <w:tc>
          <w:tcPr>
            <w:tcW w:w="1049" w:type="dxa"/>
          </w:tcPr>
          <w:p w:rsidRPr="00545ADC" w:rsidR="00597C44" w:rsidP="00597C44" w:rsidRDefault="00597C44" w14:paraId="2604CFA1" w14:textId="6F3B8ED7">
            <w:pPr>
              <w:ind w:right="-51"/>
              <w:jc w:val="center"/>
              <w:rPr>
                <w:rFonts w:ascii="Arial" w:hAnsi="Arial" w:cs="Arial"/>
              </w:rPr>
            </w:pPr>
            <w:r w:rsidRPr="00545ADC">
              <w:rPr>
                <w:rFonts w:ascii="Arial" w:hAnsi="Arial" w:cs="Arial"/>
              </w:rPr>
              <w:t>2</w:t>
            </w:r>
          </w:p>
        </w:tc>
        <w:tc>
          <w:tcPr>
            <w:tcW w:w="1020" w:type="dxa"/>
            <w:shd w:val="clear" w:color="auto" w:fill="C00000"/>
          </w:tcPr>
          <w:p w:rsidRPr="00597C44" w:rsidR="00597C44" w:rsidP="00597C44" w:rsidRDefault="00545ADC" w14:paraId="219E2802" w14:textId="1779898A">
            <w:pPr>
              <w:ind w:right="-18"/>
              <w:jc w:val="center"/>
              <w:rPr>
                <w:rFonts w:ascii="Arial" w:hAnsi="Arial" w:cs="Arial"/>
              </w:rPr>
            </w:pPr>
            <w:r>
              <w:rPr>
                <w:rFonts w:ascii="Arial" w:hAnsi="Arial" w:cs="Arial"/>
              </w:rPr>
              <w:t>1</w:t>
            </w:r>
          </w:p>
        </w:tc>
        <w:tc>
          <w:tcPr>
            <w:tcW w:w="1093" w:type="dxa"/>
            <w:shd w:val="clear" w:color="auto" w:fill="FFC000"/>
          </w:tcPr>
          <w:p w:rsidRPr="00597C44" w:rsidR="00597C44" w:rsidP="00597C44" w:rsidRDefault="00545ADC" w14:paraId="4B71AA5F" w14:textId="62591E32">
            <w:pPr>
              <w:ind w:right="-108"/>
              <w:jc w:val="center"/>
              <w:rPr>
                <w:rFonts w:ascii="Arial" w:hAnsi="Arial" w:cs="Arial"/>
              </w:rPr>
            </w:pPr>
            <w:r>
              <w:rPr>
                <w:rFonts w:ascii="Arial" w:hAnsi="Arial" w:cs="Arial"/>
              </w:rPr>
              <w:t>0</w:t>
            </w:r>
          </w:p>
        </w:tc>
        <w:tc>
          <w:tcPr>
            <w:tcW w:w="1077" w:type="dxa"/>
            <w:shd w:val="clear" w:color="auto" w:fill="00B050"/>
          </w:tcPr>
          <w:p w:rsidRPr="00597C44" w:rsidR="00597C44" w:rsidP="00597C44" w:rsidRDefault="00545ADC" w14:paraId="62A1C997" w14:textId="4B34DAF6">
            <w:pPr>
              <w:ind w:right="-18"/>
              <w:jc w:val="center"/>
              <w:rPr>
                <w:rFonts w:ascii="Arial" w:hAnsi="Arial" w:cs="Arial"/>
              </w:rPr>
            </w:pPr>
            <w:r>
              <w:rPr>
                <w:rFonts w:ascii="Arial" w:hAnsi="Arial" w:cs="Arial"/>
              </w:rPr>
              <w:t>1</w:t>
            </w:r>
          </w:p>
        </w:tc>
        <w:tc>
          <w:tcPr>
            <w:tcW w:w="1036" w:type="dxa"/>
            <w:shd w:val="clear" w:color="auto" w:fill="0070C0"/>
          </w:tcPr>
          <w:p w:rsidRPr="008B6466" w:rsidR="00597C44" w:rsidP="00597C44" w:rsidRDefault="00597C44" w14:paraId="73BF7FD7" w14:textId="1E6179C8">
            <w:pPr>
              <w:ind w:right="-18"/>
              <w:jc w:val="center"/>
              <w:rPr>
                <w:rFonts w:ascii="Arial" w:hAnsi="Arial" w:cs="Arial"/>
                <w:highlight w:val="yellow"/>
              </w:rPr>
            </w:pPr>
            <w:r w:rsidRPr="00597C44">
              <w:rPr>
                <w:rFonts w:ascii="Arial" w:hAnsi="Arial" w:cs="Arial"/>
              </w:rPr>
              <w:t>-</w:t>
            </w:r>
          </w:p>
        </w:tc>
        <w:tc>
          <w:tcPr>
            <w:tcW w:w="1084" w:type="dxa"/>
            <w:shd w:val="clear" w:color="auto" w:fill="A6A6A6" w:themeFill="background1" w:themeFillShade="A6"/>
          </w:tcPr>
          <w:p w:rsidRPr="0090123D" w:rsidR="00597C44" w:rsidP="00597C44" w:rsidRDefault="00545ADC" w14:paraId="14986115" w14:textId="6B24E539">
            <w:pPr>
              <w:ind w:right="-18"/>
              <w:jc w:val="center"/>
              <w:rPr>
                <w:rFonts w:ascii="Arial" w:hAnsi="Arial" w:cs="Arial"/>
              </w:rPr>
            </w:pPr>
            <w:r>
              <w:rPr>
                <w:rFonts w:ascii="Arial" w:hAnsi="Arial" w:cs="Arial"/>
              </w:rPr>
              <w:t>0</w:t>
            </w:r>
          </w:p>
        </w:tc>
      </w:tr>
      <w:tr w:rsidR="00597C44" w:rsidTr="00FA587D" w14:paraId="10FDCC91" w14:textId="77777777">
        <w:tc>
          <w:tcPr>
            <w:tcW w:w="3616" w:type="dxa"/>
          </w:tcPr>
          <w:p w:rsidRPr="00555156" w:rsidR="00597C44" w:rsidP="00EB2C1B" w:rsidRDefault="00EB2C1B" w14:paraId="710B4F48" w14:textId="000E0BE6">
            <w:pPr>
              <w:ind w:right="-18"/>
              <w:rPr>
                <w:rFonts w:ascii="Arial" w:hAnsi="Arial" w:cs="Arial"/>
              </w:rPr>
            </w:pPr>
            <w:r>
              <w:rPr>
                <w:rFonts w:ascii="Arial" w:hAnsi="Arial" w:cs="Arial"/>
              </w:rPr>
              <w:t>KPIs (2018</w:t>
            </w:r>
            <w:r w:rsidR="00597C44">
              <w:rPr>
                <w:rFonts w:ascii="Arial" w:hAnsi="Arial" w:cs="Arial"/>
              </w:rPr>
              <w:t>/</w:t>
            </w:r>
            <w:r>
              <w:rPr>
                <w:rFonts w:ascii="Arial" w:hAnsi="Arial" w:cs="Arial"/>
              </w:rPr>
              <w:t>19</w:t>
            </w:r>
            <w:r w:rsidR="00597C44">
              <w:rPr>
                <w:rFonts w:ascii="Arial" w:hAnsi="Arial" w:cs="Arial"/>
              </w:rPr>
              <w:t xml:space="preserve"> annual value)</w:t>
            </w:r>
          </w:p>
        </w:tc>
        <w:tc>
          <w:tcPr>
            <w:tcW w:w="1049" w:type="dxa"/>
          </w:tcPr>
          <w:p w:rsidRPr="00545ADC" w:rsidR="00597C44" w:rsidP="00597C44" w:rsidRDefault="00597C44" w14:paraId="59ED806E" w14:textId="031357BB">
            <w:pPr>
              <w:ind w:right="-51"/>
              <w:jc w:val="center"/>
              <w:rPr>
                <w:rFonts w:ascii="Arial" w:hAnsi="Arial" w:cs="Arial"/>
              </w:rPr>
            </w:pPr>
            <w:r w:rsidRPr="00545ADC">
              <w:rPr>
                <w:rFonts w:ascii="Arial" w:hAnsi="Arial" w:cs="Arial"/>
              </w:rPr>
              <w:t>2</w:t>
            </w:r>
          </w:p>
        </w:tc>
        <w:tc>
          <w:tcPr>
            <w:tcW w:w="1020" w:type="dxa"/>
            <w:shd w:val="clear" w:color="auto" w:fill="C00000"/>
          </w:tcPr>
          <w:p w:rsidRPr="00597C44" w:rsidR="00597C44" w:rsidP="00597C44" w:rsidRDefault="00545ADC" w14:paraId="0764DECC" w14:textId="5827E026">
            <w:pPr>
              <w:ind w:right="-18"/>
              <w:jc w:val="center"/>
              <w:rPr>
                <w:rFonts w:ascii="Arial" w:hAnsi="Arial" w:cs="Arial"/>
              </w:rPr>
            </w:pPr>
            <w:r>
              <w:rPr>
                <w:rFonts w:ascii="Arial" w:hAnsi="Arial" w:cs="Arial"/>
              </w:rPr>
              <w:t>1</w:t>
            </w:r>
          </w:p>
        </w:tc>
        <w:tc>
          <w:tcPr>
            <w:tcW w:w="1093" w:type="dxa"/>
            <w:shd w:val="clear" w:color="auto" w:fill="FFC000"/>
          </w:tcPr>
          <w:p w:rsidRPr="00597C44" w:rsidR="00597C44" w:rsidP="00597C44" w:rsidRDefault="00545ADC" w14:paraId="43C3DBA0" w14:textId="3846B138">
            <w:pPr>
              <w:ind w:right="-108"/>
              <w:jc w:val="center"/>
              <w:rPr>
                <w:rFonts w:ascii="Arial" w:hAnsi="Arial" w:cs="Arial"/>
              </w:rPr>
            </w:pPr>
            <w:r>
              <w:rPr>
                <w:rFonts w:ascii="Arial" w:hAnsi="Arial" w:cs="Arial"/>
              </w:rPr>
              <w:t>0</w:t>
            </w:r>
          </w:p>
        </w:tc>
        <w:tc>
          <w:tcPr>
            <w:tcW w:w="1077" w:type="dxa"/>
            <w:shd w:val="clear" w:color="auto" w:fill="00B050"/>
          </w:tcPr>
          <w:p w:rsidRPr="00597C44" w:rsidR="00597C44" w:rsidP="00597C44" w:rsidRDefault="00545ADC" w14:paraId="4BCD66B6" w14:textId="0D3CAE34">
            <w:pPr>
              <w:ind w:right="-18"/>
              <w:jc w:val="center"/>
              <w:rPr>
                <w:rFonts w:ascii="Arial" w:hAnsi="Arial" w:cs="Arial"/>
              </w:rPr>
            </w:pPr>
            <w:r>
              <w:rPr>
                <w:rFonts w:ascii="Arial" w:hAnsi="Arial" w:cs="Arial"/>
              </w:rPr>
              <w:t>1</w:t>
            </w:r>
          </w:p>
        </w:tc>
        <w:tc>
          <w:tcPr>
            <w:tcW w:w="1036" w:type="dxa"/>
            <w:shd w:val="clear" w:color="auto" w:fill="0070C0"/>
          </w:tcPr>
          <w:p w:rsidRPr="008B6466" w:rsidR="00597C44" w:rsidP="00597C44" w:rsidRDefault="00597C44" w14:paraId="21EA28F0" w14:textId="2E3D17B8">
            <w:pPr>
              <w:ind w:right="-18"/>
              <w:jc w:val="center"/>
              <w:rPr>
                <w:rFonts w:ascii="Arial" w:hAnsi="Arial" w:cs="Arial"/>
                <w:highlight w:val="yellow"/>
              </w:rPr>
            </w:pPr>
            <w:r w:rsidRPr="00597C44">
              <w:rPr>
                <w:rFonts w:ascii="Arial" w:hAnsi="Arial" w:cs="Arial"/>
              </w:rPr>
              <w:t>-</w:t>
            </w:r>
          </w:p>
        </w:tc>
        <w:tc>
          <w:tcPr>
            <w:tcW w:w="1084" w:type="dxa"/>
            <w:shd w:val="clear" w:color="auto" w:fill="A6A6A6" w:themeFill="background1" w:themeFillShade="A6"/>
          </w:tcPr>
          <w:p w:rsidRPr="0090123D" w:rsidR="00597C44" w:rsidP="00597C44" w:rsidRDefault="00545ADC" w14:paraId="2F314A58" w14:textId="169ADF70">
            <w:pPr>
              <w:ind w:right="-18"/>
              <w:jc w:val="center"/>
              <w:rPr>
                <w:rFonts w:ascii="Arial" w:hAnsi="Arial" w:cs="Arial"/>
              </w:rPr>
            </w:pPr>
            <w:r>
              <w:rPr>
                <w:rFonts w:ascii="Arial" w:hAnsi="Arial" w:cs="Arial"/>
              </w:rPr>
              <w:t>0</w:t>
            </w:r>
          </w:p>
        </w:tc>
      </w:tr>
    </w:tbl>
    <w:p w:rsidRPr="00555156" w:rsidR="007D3C37" w:rsidP="007D3C37" w:rsidRDefault="007D3C37" w14:paraId="4817DF17" w14:textId="77777777">
      <w:pPr>
        <w:spacing w:after="0" w:line="240" w:lineRule="auto"/>
        <w:ind w:left="-360" w:right="-806"/>
        <w:rPr>
          <w:rFonts w:ascii="Arial" w:hAnsi="Arial" w:cs="Arial"/>
          <w:sz w:val="32"/>
          <w:szCs w:val="24"/>
        </w:rPr>
      </w:pPr>
    </w:p>
    <w:p w:rsidRPr="008179C9" w:rsidR="00503568" w:rsidP="00233DBF" w:rsidRDefault="00503568" w14:paraId="27CAE33B" w14:textId="328910C3">
      <w:pPr>
        <w:shd w:val="clear" w:color="auto" w:fill="B4C6E7" w:themeFill="accent5" w:themeFillTint="66"/>
        <w:spacing w:after="0" w:line="240" w:lineRule="auto"/>
        <w:ind w:left="-360" w:right="-612"/>
        <w:rPr>
          <w:rFonts w:ascii="Arial" w:hAnsi="Arial" w:cs="Arial"/>
          <w:b/>
          <w:color w:val="000000" w:themeColor="text1"/>
          <w:sz w:val="32"/>
          <w:szCs w:val="24"/>
        </w:rPr>
      </w:pPr>
      <w:r w:rsidRPr="00233DBF">
        <w:rPr>
          <w:rFonts w:ascii="Arial" w:hAnsi="Arial" w:cs="Arial"/>
          <w:b/>
          <w:color w:val="000000" w:themeColor="text1"/>
          <w:sz w:val="28"/>
          <w:szCs w:val="24"/>
        </w:rPr>
        <w:t>Projects/activities</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A)</w:t>
      </w:r>
    </w:p>
    <w:p w:rsidR="00AE625B" w:rsidP="00503568" w:rsidRDefault="00AE625B" w14:paraId="42698B48" w14:textId="77777777">
      <w:pPr>
        <w:spacing w:after="0" w:line="240" w:lineRule="auto"/>
        <w:ind w:left="-360" w:right="-806"/>
        <w:rPr>
          <w:rFonts w:ascii="Arial" w:hAnsi="Arial" w:cs="Arial"/>
          <w:b/>
          <w:color w:val="00B050"/>
          <w:sz w:val="24"/>
          <w:szCs w:val="24"/>
        </w:rPr>
      </w:pPr>
    </w:p>
    <w:p w:rsidR="002F2B3B" w:rsidP="002F2B3B" w:rsidRDefault="002F2B3B" w14:paraId="5B6F9161" w14:textId="77777777">
      <w:pPr>
        <w:spacing w:after="120" w:line="240" w:lineRule="auto"/>
        <w:ind w:left="-357" w:right="-805"/>
        <w:rPr>
          <w:rFonts w:ascii="Arial" w:hAnsi="Arial" w:cs="Arial"/>
          <w:b/>
          <w:color w:val="0070C0"/>
          <w:sz w:val="24"/>
          <w:szCs w:val="24"/>
        </w:rPr>
      </w:pPr>
      <w:r w:rsidRPr="00F957FE">
        <w:rPr>
          <w:rFonts w:ascii="Arial" w:hAnsi="Arial" w:cs="Arial"/>
          <w:b/>
          <w:color w:val="0070C0"/>
          <w:sz w:val="24"/>
          <w:szCs w:val="24"/>
        </w:rPr>
        <w:t xml:space="preserve">Blue </w:t>
      </w:r>
      <w:r>
        <w:rPr>
          <w:rFonts w:ascii="Arial" w:hAnsi="Arial" w:cs="Arial"/>
          <w:b/>
          <w:color w:val="0070C0"/>
          <w:sz w:val="24"/>
          <w:szCs w:val="24"/>
        </w:rPr>
        <w:t>highlights –</w:t>
      </w:r>
      <w:r w:rsidRPr="00F957FE">
        <w:rPr>
          <w:rFonts w:ascii="Arial" w:hAnsi="Arial" w:cs="Arial"/>
          <w:b/>
          <w:color w:val="0070C0"/>
          <w:sz w:val="24"/>
          <w:szCs w:val="24"/>
        </w:rPr>
        <w:t xml:space="preserve"> completed</w:t>
      </w:r>
      <w:r>
        <w:rPr>
          <w:rFonts w:ascii="Arial" w:hAnsi="Arial" w:cs="Arial"/>
          <w:b/>
          <w:color w:val="0070C0"/>
          <w:sz w:val="24"/>
          <w:szCs w:val="24"/>
        </w:rPr>
        <w:t xml:space="preserve"> this quarter</w:t>
      </w:r>
    </w:p>
    <w:p w:rsidRPr="001868DD" w:rsidR="008225C7" w:rsidP="008225C7" w:rsidRDefault="00DE0E50" w14:paraId="11938459" w14:textId="77777777">
      <w:pPr>
        <w:pStyle w:val="ListParagraph"/>
        <w:numPr>
          <w:ilvl w:val="0"/>
          <w:numId w:val="8"/>
        </w:numPr>
        <w:spacing w:after="120" w:line="240" w:lineRule="auto"/>
        <w:ind w:left="0" w:right="-612" w:hanging="284"/>
        <w:contextualSpacing w:val="0"/>
        <w:rPr>
          <w:rFonts w:ascii="Arial" w:hAnsi="Arial" w:cs="Arial"/>
          <w:b/>
        </w:rPr>
      </w:pPr>
      <w:r w:rsidRPr="001868DD">
        <w:rPr>
          <w:rFonts w:ascii="Arial" w:hAnsi="Arial" w:cs="Arial"/>
        </w:rPr>
        <w:t>The Council’s town centre facelift scheme has focused on Wigton this year – the scheme was incredibly popular and an additional £20k was secured during the year to enable the waiting list of applications to be dealt with. (3.1b)</w:t>
      </w:r>
    </w:p>
    <w:p w:rsidRPr="008225C7" w:rsidR="00DE0E50" w:rsidP="008225C7" w:rsidRDefault="008225C7" w14:paraId="33327852" w14:textId="1CEDE2D0">
      <w:pPr>
        <w:pStyle w:val="ListParagraph"/>
        <w:numPr>
          <w:ilvl w:val="0"/>
          <w:numId w:val="8"/>
        </w:numPr>
        <w:spacing w:after="120" w:line="240" w:lineRule="auto"/>
        <w:ind w:left="0" w:right="-612" w:hanging="284"/>
        <w:contextualSpacing w:val="0"/>
        <w:rPr>
          <w:rFonts w:ascii="Arial" w:hAnsi="Arial" w:cs="Arial"/>
          <w:b/>
          <w:sz w:val="24"/>
          <w:szCs w:val="24"/>
        </w:rPr>
      </w:pPr>
      <w:r w:rsidRPr="008225C7">
        <w:rPr>
          <w:rFonts w:ascii="Arial" w:hAnsi="Arial" w:cs="Arial"/>
          <w:szCs w:val="24"/>
        </w:rPr>
        <w:t>We have run a series of successful breakfast briefings with the tourism sector that have been well received (3.2c)</w:t>
      </w:r>
    </w:p>
    <w:p w:rsidR="00AE625B" w:rsidP="00DE0E50" w:rsidRDefault="00AE625B" w14:paraId="09FDE647" w14:textId="5D29E598">
      <w:pPr>
        <w:spacing w:after="120" w:line="240" w:lineRule="auto"/>
        <w:ind w:left="-357" w:right="-805"/>
        <w:rPr>
          <w:rFonts w:ascii="Arial" w:hAnsi="Arial" w:cs="Arial"/>
          <w:b/>
          <w:color w:val="4472C4" w:themeColor="accent5"/>
          <w:sz w:val="28"/>
          <w:szCs w:val="24"/>
        </w:rPr>
      </w:pPr>
      <w:r w:rsidRPr="00AE4C66">
        <w:rPr>
          <w:rFonts w:ascii="Arial" w:hAnsi="Arial" w:cs="Arial"/>
          <w:b/>
          <w:color w:val="00B050"/>
          <w:sz w:val="24"/>
          <w:szCs w:val="24"/>
        </w:rPr>
        <w:t>Green highlights</w:t>
      </w:r>
    </w:p>
    <w:p w:rsidR="007F0F1D" w:rsidP="008225C7" w:rsidRDefault="00836D2D" w14:paraId="22A9F4BD" w14:textId="3C635028">
      <w:pPr>
        <w:pStyle w:val="ListParagraph"/>
        <w:numPr>
          <w:ilvl w:val="0"/>
          <w:numId w:val="8"/>
        </w:numPr>
        <w:spacing w:after="80" w:line="240" w:lineRule="auto"/>
        <w:ind w:left="0" w:right="-612" w:hanging="284"/>
        <w:contextualSpacing w:val="0"/>
        <w:rPr>
          <w:rFonts w:ascii="Arial" w:hAnsi="Arial" w:cs="Arial"/>
        </w:rPr>
      </w:pPr>
      <w:r w:rsidRPr="008225C7">
        <w:rPr>
          <w:rFonts w:ascii="Arial" w:hAnsi="Arial" w:cs="Arial"/>
        </w:rPr>
        <w:t xml:space="preserve">Tourism </w:t>
      </w:r>
      <w:r w:rsidRPr="008225C7" w:rsidR="008225C7">
        <w:rPr>
          <w:rFonts w:ascii="Arial" w:hAnsi="Arial" w:cs="Arial"/>
        </w:rPr>
        <w:t xml:space="preserve">markets development - a formal launch of the China Forum was held in March 2019 and was officially opened by the Manchester based Chinese Consul General. </w:t>
      </w:r>
      <w:r w:rsidRPr="008225C7" w:rsidR="007F0F1D">
        <w:rPr>
          <w:rFonts w:ascii="Arial" w:hAnsi="Arial" w:cs="Arial"/>
        </w:rPr>
        <w:t>(3.2</w:t>
      </w:r>
      <w:r w:rsidRPr="008225C7" w:rsidR="008225C7">
        <w:rPr>
          <w:rFonts w:ascii="Arial" w:hAnsi="Arial" w:cs="Arial"/>
        </w:rPr>
        <w:t>g</w:t>
      </w:r>
      <w:r w:rsidRPr="008225C7" w:rsidR="007F0F1D">
        <w:rPr>
          <w:rFonts w:ascii="Arial" w:hAnsi="Arial" w:cs="Arial"/>
        </w:rPr>
        <w:t>)</w:t>
      </w:r>
    </w:p>
    <w:p w:rsidRPr="008225C7" w:rsidR="00913E33" w:rsidP="008225C7" w:rsidRDefault="008225C7" w14:paraId="1E9ABEBB" w14:textId="17F914D8">
      <w:pPr>
        <w:pStyle w:val="ListParagraph"/>
        <w:numPr>
          <w:ilvl w:val="0"/>
          <w:numId w:val="8"/>
        </w:numPr>
        <w:spacing w:after="80" w:line="240" w:lineRule="auto"/>
        <w:ind w:left="0" w:right="-612" w:hanging="284"/>
        <w:contextualSpacing w:val="0"/>
        <w:rPr>
          <w:rFonts w:ascii="Arial" w:hAnsi="Arial" w:cs="Arial"/>
        </w:rPr>
      </w:pPr>
      <w:r w:rsidRPr="008225C7">
        <w:rPr>
          <w:rFonts w:ascii="Arial" w:hAnsi="Arial" w:cs="Arial"/>
        </w:rPr>
        <w:t xml:space="preserve">The Allerdale Local Focus Hub has now re-located to Allerdale House and an Allerdale Officer is now supporting the management of this partnership. </w:t>
      </w:r>
      <w:r>
        <w:rPr>
          <w:rFonts w:ascii="Arial" w:hAnsi="Arial" w:cs="Arial"/>
        </w:rPr>
        <w:t>(3.11)</w:t>
      </w:r>
    </w:p>
    <w:p w:rsidRPr="007F0F1D" w:rsidR="00AE625B" w:rsidP="008225C7" w:rsidRDefault="00AE625B" w14:paraId="2B4FB806" w14:textId="665D6086">
      <w:pPr>
        <w:spacing w:before="120" w:after="120" w:line="240" w:lineRule="auto"/>
        <w:ind w:left="-357" w:right="-612"/>
        <w:rPr>
          <w:rFonts w:ascii="Arial" w:hAnsi="Arial" w:cs="Arial"/>
          <w:b/>
          <w:color w:val="00B050"/>
          <w:sz w:val="24"/>
          <w:szCs w:val="24"/>
        </w:rPr>
      </w:pPr>
      <w:r w:rsidRPr="007F0F1D">
        <w:rPr>
          <w:rFonts w:ascii="Arial" w:hAnsi="Arial" w:cs="Arial"/>
          <w:b/>
          <w:color w:val="FFC000"/>
          <w:sz w:val="24"/>
          <w:szCs w:val="24"/>
        </w:rPr>
        <w:t>Amber – areas to watch</w:t>
      </w:r>
    </w:p>
    <w:p w:rsidRPr="00F407A9" w:rsidR="003A7CAD" w:rsidP="003A7CAD" w:rsidRDefault="003A7CAD" w14:paraId="1E8910DE" w14:textId="30DE4B10">
      <w:pPr>
        <w:pStyle w:val="ListParagraph"/>
        <w:numPr>
          <w:ilvl w:val="0"/>
          <w:numId w:val="31"/>
        </w:numPr>
        <w:spacing w:after="80" w:line="240" w:lineRule="auto"/>
        <w:ind w:left="0" w:right="-754" w:hanging="284"/>
        <w:contextualSpacing w:val="0"/>
        <w:rPr>
          <w:rFonts w:ascii="Arial" w:hAnsi="Arial" w:cs="Arial"/>
          <w:szCs w:val="24"/>
        </w:rPr>
      </w:pPr>
      <w:r w:rsidRPr="00F407A9">
        <w:rPr>
          <w:rFonts w:ascii="Arial" w:hAnsi="Arial" w:cs="Arial"/>
          <w:szCs w:val="24"/>
        </w:rPr>
        <w:t>Work to implement the Heritage Strategy is progressing more slowly than originally planned.</w:t>
      </w:r>
      <w:r w:rsidR="008225C7">
        <w:rPr>
          <w:rFonts w:ascii="Arial" w:hAnsi="Arial" w:cs="Arial"/>
          <w:szCs w:val="24"/>
        </w:rPr>
        <w:t xml:space="preserve"> (3.4)</w:t>
      </w:r>
    </w:p>
    <w:p w:rsidRPr="00F407A9" w:rsidR="003A7CAD" w:rsidP="003A7CAD" w:rsidRDefault="003A7CAD" w14:paraId="0B58C4C2" w14:textId="31DF240C">
      <w:pPr>
        <w:pStyle w:val="ListParagraph"/>
        <w:numPr>
          <w:ilvl w:val="0"/>
          <w:numId w:val="31"/>
        </w:numPr>
        <w:spacing w:after="80" w:line="240" w:lineRule="auto"/>
        <w:ind w:left="0" w:right="-754" w:hanging="284"/>
        <w:contextualSpacing w:val="0"/>
        <w:rPr>
          <w:rFonts w:ascii="Arial" w:hAnsi="Arial" w:cs="Arial"/>
          <w:szCs w:val="24"/>
        </w:rPr>
      </w:pPr>
      <w:r w:rsidRPr="00F407A9">
        <w:rPr>
          <w:rFonts w:ascii="Arial" w:hAnsi="Arial" w:cs="Arial"/>
          <w:szCs w:val="24"/>
        </w:rPr>
        <w:t>Work to get Curwen Hall off the ‘at risk’ register has encountered cost issues and grants are having to be reapplied for.</w:t>
      </w:r>
      <w:r w:rsidR="008225C7">
        <w:rPr>
          <w:rFonts w:ascii="Arial" w:hAnsi="Arial" w:cs="Arial"/>
          <w:szCs w:val="24"/>
        </w:rPr>
        <w:t xml:space="preserve"> (3.5)</w:t>
      </w:r>
    </w:p>
    <w:p w:rsidRPr="00F407A9" w:rsidR="003A7CAD" w:rsidP="003A7CAD" w:rsidRDefault="003A7CAD" w14:paraId="6780EB1D" w14:textId="09248484">
      <w:pPr>
        <w:pStyle w:val="ListParagraph"/>
        <w:numPr>
          <w:ilvl w:val="0"/>
          <w:numId w:val="31"/>
        </w:numPr>
        <w:spacing w:after="80" w:line="240" w:lineRule="auto"/>
        <w:ind w:left="0" w:right="-754" w:hanging="284"/>
        <w:contextualSpacing w:val="0"/>
        <w:rPr>
          <w:rFonts w:ascii="Arial" w:hAnsi="Arial" w:cs="Arial"/>
          <w:szCs w:val="24"/>
        </w:rPr>
      </w:pPr>
      <w:r w:rsidRPr="00F407A9">
        <w:rPr>
          <w:rFonts w:ascii="Arial" w:hAnsi="Arial" w:cs="Arial"/>
          <w:szCs w:val="24"/>
        </w:rPr>
        <w:t xml:space="preserve">Public realm improvements incorporating Brow Top, Central Way Underpass and Workington Leisure Centre are running more slowly than originally anticipated. </w:t>
      </w:r>
      <w:r w:rsidR="008225C7">
        <w:rPr>
          <w:rFonts w:ascii="Arial" w:hAnsi="Arial" w:cs="Arial"/>
          <w:szCs w:val="24"/>
        </w:rPr>
        <w:t>(3.6e)</w:t>
      </w:r>
    </w:p>
    <w:p w:rsidRPr="00F407A9" w:rsidR="003A7CAD" w:rsidP="003A7CAD" w:rsidRDefault="003A7CAD" w14:paraId="57C8B0EB" w14:textId="39034E7B">
      <w:pPr>
        <w:pStyle w:val="ListParagraph"/>
        <w:numPr>
          <w:ilvl w:val="0"/>
          <w:numId w:val="31"/>
        </w:numPr>
        <w:spacing w:after="80" w:line="240" w:lineRule="auto"/>
        <w:ind w:left="0" w:right="-754" w:hanging="284"/>
        <w:contextualSpacing w:val="0"/>
        <w:rPr>
          <w:rFonts w:ascii="Arial" w:hAnsi="Arial" w:cs="Arial"/>
          <w:szCs w:val="24"/>
        </w:rPr>
      </w:pPr>
      <w:r w:rsidRPr="00F407A9">
        <w:rPr>
          <w:rFonts w:ascii="Arial" w:hAnsi="Arial" w:cs="Arial"/>
          <w:szCs w:val="24"/>
        </w:rPr>
        <w:t>Only two of three planned environmental enforcement media campaigns around tackling dog-fouling, littering and fly-tipping carried out in 2018/19.</w:t>
      </w:r>
      <w:r w:rsidR="008225C7">
        <w:rPr>
          <w:rFonts w:ascii="Arial" w:hAnsi="Arial" w:cs="Arial"/>
          <w:szCs w:val="24"/>
        </w:rPr>
        <w:t xml:space="preserve"> </w:t>
      </w:r>
      <w:r w:rsidR="000B4279">
        <w:rPr>
          <w:rFonts w:ascii="Arial" w:hAnsi="Arial" w:cs="Arial"/>
          <w:szCs w:val="24"/>
        </w:rPr>
        <w:t>(3.9)</w:t>
      </w:r>
    </w:p>
    <w:p w:rsidRPr="003A7CAD" w:rsidR="003A7CAD" w:rsidP="003A7CAD" w:rsidRDefault="003A7CAD" w14:paraId="6FDD31C5" w14:textId="77777777">
      <w:pPr>
        <w:pStyle w:val="ListParagraph"/>
        <w:spacing w:after="0" w:line="240" w:lineRule="auto"/>
        <w:ind w:left="0" w:right="-805"/>
        <w:contextualSpacing w:val="0"/>
        <w:rPr>
          <w:rFonts w:ascii="Arial" w:hAnsi="Arial" w:cs="Arial"/>
          <w:sz w:val="24"/>
          <w:szCs w:val="24"/>
        </w:rPr>
      </w:pPr>
    </w:p>
    <w:p w:rsidR="00F8308A" w:rsidP="00F8308A" w:rsidRDefault="001B0F23" w14:paraId="1FDAC952" w14:textId="11DCCA6D">
      <w:pPr>
        <w:shd w:val="clear" w:color="auto" w:fill="B4C6E7" w:themeFill="accent5" w:themeFillTint="66"/>
        <w:spacing w:after="0" w:line="240" w:lineRule="auto"/>
        <w:ind w:left="-360" w:right="-612"/>
        <w:rPr>
          <w:rFonts w:ascii="Arial" w:hAnsi="Arial" w:cs="Arial"/>
          <w:color w:val="000000" w:themeColor="text1"/>
          <w:sz w:val="28"/>
          <w:szCs w:val="24"/>
        </w:rPr>
      </w:pPr>
      <w:r>
        <w:rPr>
          <w:rFonts w:ascii="Arial" w:hAnsi="Arial" w:cs="Arial"/>
          <w:b/>
          <w:color w:val="000000" w:themeColor="text1"/>
          <w:sz w:val="28"/>
          <w:szCs w:val="24"/>
        </w:rPr>
        <w:t>Key performance indicators (annual outturn)</w:t>
      </w:r>
      <w:r>
        <w:rPr>
          <w:rFonts w:ascii="Arial" w:hAnsi="Arial" w:cs="Arial"/>
          <w:b/>
          <w:color w:val="000000" w:themeColor="text1"/>
          <w:sz w:val="28"/>
          <w:szCs w:val="24"/>
        </w:rPr>
        <w:tab/>
      </w:r>
      <w:r w:rsidRPr="008A62B0" w:rsidR="00F8308A">
        <w:rPr>
          <w:rFonts w:ascii="Arial" w:hAnsi="Arial" w:cs="Arial"/>
          <w:b/>
          <w:color w:val="000000" w:themeColor="text1"/>
          <w:sz w:val="28"/>
          <w:szCs w:val="24"/>
        </w:rPr>
        <w:tab/>
      </w:r>
      <w:r w:rsidRPr="008A62B0" w:rsidR="00F8308A">
        <w:rPr>
          <w:rFonts w:ascii="Arial" w:hAnsi="Arial" w:cs="Arial"/>
          <w:b/>
          <w:color w:val="000000" w:themeColor="text1"/>
          <w:sz w:val="28"/>
          <w:szCs w:val="24"/>
        </w:rPr>
        <w:tab/>
      </w:r>
      <w:r w:rsidRPr="008A62B0" w:rsidR="00F8308A">
        <w:rPr>
          <w:rFonts w:ascii="Arial" w:hAnsi="Arial" w:cs="Arial"/>
          <w:b/>
          <w:color w:val="000000" w:themeColor="text1"/>
          <w:sz w:val="28"/>
          <w:szCs w:val="24"/>
        </w:rPr>
        <w:tab/>
      </w:r>
      <w:r w:rsidRPr="008A62B0" w:rsidR="00F8308A">
        <w:rPr>
          <w:rFonts w:ascii="Arial" w:hAnsi="Arial" w:cs="Arial"/>
          <w:color w:val="000000" w:themeColor="text1"/>
          <w:sz w:val="28"/>
          <w:szCs w:val="24"/>
        </w:rPr>
        <w:t>(Appendix B)</w:t>
      </w:r>
    </w:p>
    <w:p w:rsidRPr="008D3AA9" w:rsidR="000079A3" w:rsidP="000079A3" w:rsidRDefault="000079A3" w14:paraId="7B8B97D9" w14:textId="77777777">
      <w:pPr>
        <w:pStyle w:val="ListParagraph"/>
        <w:spacing w:before="120" w:after="0" w:line="240" w:lineRule="auto"/>
        <w:ind w:left="-426" w:right="-805"/>
        <w:contextualSpacing w:val="0"/>
        <w:rPr>
          <w:rFonts w:ascii="Arial" w:hAnsi="Arial" w:cs="Arial"/>
          <w:szCs w:val="24"/>
        </w:rPr>
      </w:pPr>
      <w:r w:rsidRPr="008D3AA9">
        <w:rPr>
          <w:rFonts w:ascii="Arial" w:hAnsi="Arial" w:cs="Arial"/>
          <w:b/>
          <w:color w:val="00B050"/>
          <w:sz w:val="24"/>
          <w:szCs w:val="24"/>
        </w:rPr>
        <w:t>Green highlights</w:t>
      </w:r>
      <w:r w:rsidRPr="008D3AA9">
        <w:rPr>
          <w:rFonts w:ascii="Arial" w:hAnsi="Arial" w:cs="Arial"/>
          <w:szCs w:val="24"/>
        </w:rPr>
        <w:t xml:space="preserve"> </w:t>
      </w:r>
    </w:p>
    <w:p w:rsidRPr="008D3AA9" w:rsidR="000079A3" w:rsidP="000079A3" w:rsidRDefault="000079A3" w14:paraId="33E4E32D" w14:textId="77777777">
      <w:pPr>
        <w:pStyle w:val="ListParagraph"/>
        <w:numPr>
          <w:ilvl w:val="0"/>
          <w:numId w:val="32"/>
        </w:numPr>
        <w:spacing w:before="120" w:after="0" w:line="240" w:lineRule="auto"/>
        <w:ind w:left="0" w:right="-805" w:hanging="284"/>
        <w:contextualSpacing w:val="0"/>
        <w:rPr>
          <w:rFonts w:ascii="Arial" w:hAnsi="Arial" w:cs="Arial"/>
          <w:sz w:val="24"/>
          <w:szCs w:val="24"/>
        </w:rPr>
      </w:pPr>
      <w:r w:rsidRPr="008D3AA9">
        <w:rPr>
          <w:rFonts w:ascii="Arial" w:hAnsi="Arial" w:cs="Arial"/>
          <w:szCs w:val="24"/>
        </w:rPr>
        <w:t>100</w:t>
      </w:r>
      <w:r w:rsidRPr="008D3AA9" w:rsidR="00F8308A">
        <w:rPr>
          <w:rFonts w:ascii="Arial" w:hAnsi="Arial" w:cs="Arial"/>
          <w:szCs w:val="24"/>
        </w:rPr>
        <w:t>% of public conveniences cleaned within the Service Level Agreement (KFS03)</w:t>
      </w:r>
      <w:r w:rsidRPr="008D3AA9">
        <w:rPr>
          <w:rFonts w:ascii="Arial" w:hAnsi="Arial" w:cs="Arial"/>
          <w:szCs w:val="24"/>
        </w:rPr>
        <w:t xml:space="preserve"> </w:t>
      </w:r>
    </w:p>
    <w:p w:rsidRPr="008D3AA9" w:rsidR="005B62B9" w:rsidP="005B62B9" w:rsidRDefault="005B62B9" w14:paraId="3E177D2E" w14:textId="77777777">
      <w:pPr>
        <w:spacing w:after="0" w:line="240" w:lineRule="auto"/>
        <w:ind w:left="-357" w:right="-805"/>
        <w:rPr>
          <w:rFonts w:ascii="Arial" w:hAnsi="Arial" w:cs="Arial"/>
          <w:b/>
          <w:color w:val="C00000"/>
          <w:sz w:val="24"/>
          <w:szCs w:val="24"/>
        </w:rPr>
      </w:pPr>
    </w:p>
    <w:p w:rsidRPr="00F05F84" w:rsidR="005B62B9" w:rsidP="005B62B9" w:rsidRDefault="005B62B9" w14:paraId="183C8D20" w14:textId="043AE74D">
      <w:pPr>
        <w:spacing w:after="120" w:line="240" w:lineRule="auto"/>
        <w:ind w:left="-360" w:right="-806"/>
        <w:rPr>
          <w:rFonts w:ascii="Arial" w:hAnsi="Arial" w:cs="Arial"/>
          <w:b/>
          <w:color w:val="C00000"/>
          <w:szCs w:val="24"/>
        </w:rPr>
      </w:pPr>
      <w:r w:rsidRPr="008D3AA9">
        <w:rPr>
          <w:rFonts w:ascii="Arial" w:hAnsi="Arial" w:cs="Arial"/>
          <w:b/>
          <w:color w:val="C00000"/>
          <w:sz w:val="24"/>
          <w:szCs w:val="24"/>
        </w:rPr>
        <w:t>Red</w:t>
      </w:r>
      <w:r w:rsidRPr="00547161">
        <w:rPr>
          <w:rFonts w:ascii="Arial" w:hAnsi="Arial" w:cs="Arial"/>
          <w:b/>
          <w:color w:val="C00000"/>
          <w:sz w:val="24"/>
          <w:szCs w:val="24"/>
        </w:rPr>
        <w:t xml:space="preserve"> </w:t>
      </w:r>
    </w:p>
    <w:p w:rsidRPr="00BA7266" w:rsidR="005B62B9" w:rsidP="005B62B9" w:rsidRDefault="005B62B9" w14:paraId="65FEB793" w14:textId="625B7EEB">
      <w:pPr>
        <w:pStyle w:val="Default"/>
        <w:numPr>
          <w:ilvl w:val="0"/>
          <w:numId w:val="38"/>
        </w:numPr>
        <w:ind w:left="0" w:hanging="284"/>
        <w:rPr>
          <w:sz w:val="22"/>
          <w:szCs w:val="22"/>
        </w:rPr>
      </w:pPr>
      <w:r w:rsidRPr="00BA7266">
        <w:rPr>
          <w:sz w:val="22"/>
          <w:szCs w:val="22"/>
        </w:rPr>
        <w:t xml:space="preserve">Number of empty homes grants completed – 6 against a target of </w:t>
      </w:r>
      <w:r w:rsidR="00BA7266">
        <w:rPr>
          <w:sz w:val="22"/>
          <w:szCs w:val="22"/>
        </w:rPr>
        <w:t xml:space="preserve">10 </w:t>
      </w:r>
      <w:r w:rsidRPr="00BA7266">
        <w:rPr>
          <w:sz w:val="22"/>
          <w:szCs w:val="22"/>
        </w:rPr>
        <w:t>(KHH06a)</w:t>
      </w:r>
      <w:r w:rsidR="00BA7266">
        <w:rPr>
          <w:sz w:val="22"/>
          <w:szCs w:val="22"/>
        </w:rPr>
        <w:t>.</w:t>
      </w:r>
      <w:r w:rsidRPr="00BA7266" w:rsidR="00BA7266">
        <w:rPr>
          <w:sz w:val="22"/>
          <w:szCs w:val="22"/>
        </w:rPr>
        <w:t xml:space="preserve"> </w:t>
      </w:r>
      <w:r w:rsidR="00BA7266">
        <w:rPr>
          <w:sz w:val="22"/>
          <w:szCs w:val="22"/>
        </w:rPr>
        <w:t>W</w:t>
      </w:r>
      <w:r w:rsidRPr="00BA7266" w:rsidR="00BA7266">
        <w:rPr>
          <w:sz w:val="22"/>
          <w:szCs w:val="22"/>
        </w:rPr>
        <w:t>e still have 15 approved grants ongoing at the end of the year that will continue into 2019/20</w:t>
      </w:r>
      <w:r w:rsidR="00BA7266">
        <w:rPr>
          <w:sz w:val="22"/>
          <w:szCs w:val="22"/>
        </w:rPr>
        <w:t xml:space="preserve">, officers continue to push grant recipients </w:t>
      </w:r>
      <w:r w:rsidRPr="00BA7266" w:rsidR="00BA7266">
        <w:rPr>
          <w:sz w:val="22"/>
          <w:szCs w:val="22"/>
        </w:rPr>
        <w:t xml:space="preserve">to complete </w:t>
      </w:r>
      <w:r w:rsidR="00BA7266">
        <w:rPr>
          <w:sz w:val="22"/>
          <w:szCs w:val="22"/>
        </w:rPr>
        <w:t xml:space="preserve">the </w:t>
      </w:r>
      <w:r w:rsidRPr="00BA7266" w:rsidR="00BA7266">
        <w:rPr>
          <w:sz w:val="22"/>
          <w:szCs w:val="22"/>
        </w:rPr>
        <w:t xml:space="preserve">works. </w:t>
      </w:r>
    </w:p>
    <w:p w:rsidRPr="005B62B9" w:rsidR="005B62B9" w:rsidP="005B62B9" w:rsidRDefault="005B62B9" w14:paraId="77D57005" w14:textId="77777777">
      <w:pPr>
        <w:spacing w:after="120" w:line="240" w:lineRule="auto"/>
        <w:ind w:left="-360" w:right="-806"/>
        <w:rPr>
          <w:rFonts w:ascii="Arial" w:hAnsi="Arial" w:cs="Arial"/>
          <w:highlight w:val="yellow"/>
        </w:rPr>
      </w:pPr>
    </w:p>
    <w:p w:rsidRPr="005B62B9" w:rsidR="005B62B9" w:rsidP="005B62B9" w:rsidRDefault="005B62B9" w14:paraId="45A50752" w14:textId="77777777">
      <w:pPr>
        <w:spacing w:before="120" w:after="0" w:line="240" w:lineRule="auto"/>
        <w:ind w:right="-805"/>
        <w:rPr>
          <w:rFonts w:ascii="Arial" w:hAnsi="Arial" w:cs="Arial"/>
          <w:sz w:val="24"/>
          <w:szCs w:val="24"/>
          <w:highlight w:val="yellow"/>
        </w:rPr>
      </w:pPr>
    </w:p>
    <w:p w:rsidR="00F05F84" w:rsidP="00F05F84" w:rsidRDefault="00F05F84" w14:paraId="6A282E03" w14:textId="77777777">
      <w:pPr>
        <w:spacing w:after="0" w:line="240" w:lineRule="auto"/>
        <w:ind w:left="-357" w:right="-612"/>
      </w:pPr>
    </w:p>
    <w:p w:rsidRPr="000079A3" w:rsidR="0029326B" w:rsidP="009C67F5" w:rsidRDefault="000079A3" w14:paraId="196AAFB3" w14:textId="566A7EDF">
      <w:pPr>
        <w:spacing w:after="80" w:line="240" w:lineRule="auto"/>
        <w:ind w:left="-425"/>
        <w:rPr>
          <w:rFonts w:ascii="Arial" w:hAnsi="Arial" w:cs="Arial"/>
          <w:sz w:val="24"/>
          <w:szCs w:val="24"/>
        </w:rPr>
      </w:pPr>
      <w:r w:rsidRPr="00F05F84">
        <w:rPr>
          <w:rFonts w:ascii="Arial" w:hAnsi="Arial" w:cs="Arial"/>
          <w:szCs w:val="24"/>
        </w:rPr>
        <w:br w:type="page"/>
      </w:r>
      <w:r w:rsidRPr="00C564E3" w:rsidR="0029326B">
        <w:rPr>
          <w:rFonts w:ascii="Arial" w:hAnsi="Arial" w:cs="Arial"/>
          <w:b/>
          <w:color w:val="4472C4" w:themeColor="accent5"/>
          <w:sz w:val="44"/>
        </w:rPr>
        <w:lastRenderedPageBreak/>
        <w:t>Improving health and wellbeing summary</w:t>
      </w:r>
    </w:p>
    <w:p w:rsidRPr="00FE6643" w:rsidR="0029326B" w:rsidP="0029326B" w:rsidRDefault="0029326B" w14:paraId="2041F0EF" w14:textId="0849282C">
      <w:pPr>
        <w:spacing w:after="0" w:line="240" w:lineRule="auto"/>
        <w:ind w:left="-360" w:right="-810"/>
        <w:rPr>
          <w:rFonts w:ascii="Segoe Print" w:hAnsi="Segoe Print" w:eastAsia="Arial Unicode MS" w:cs="Arial"/>
          <w:color w:val="1F4E79" w:themeColor="accent1" w:themeShade="80"/>
          <w:sz w:val="24"/>
        </w:rPr>
      </w:pPr>
      <w:r w:rsidRPr="00FE6643">
        <w:rPr>
          <w:rFonts w:ascii="Segoe Print" w:hAnsi="Segoe Print" w:eastAsia="Arial Unicode MS" w:cs="Arial"/>
          <w:color w:val="1F4E79" w:themeColor="accent1" w:themeShade="80"/>
          <w:sz w:val="24"/>
        </w:rPr>
        <w:t>We aim to help people live healthy and active lives and reduce health inequalities</w:t>
      </w:r>
    </w:p>
    <w:p w:rsidRPr="00C350E4" w:rsidR="00D54A76" w:rsidP="00D54A76" w:rsidRDefault="00D54A76" w14:paraId="4C09A3FE" w14:textId="77777777">
      <w:pPr>
        <w:spacing w:after="0" w:line="240" w:lineRule="auto"/>
        <w:ind w:left="-360" w:right="-806"/>
        <w:rPr>
          <w:rFonts w:ascii="Arial" w:hAnsi="Arial" w:cs="Arial"/>
          <w:sz w:val="24"/>
          <w:szCs w:val="24"/>
        </w:rPr>
      </w:pPr>
    </w:p>
    <w:tbl>
      <w:tblPr>
        <w:tblStyle w:val="TableGrid"/>
        <w:tblW w:w="10136" w:type="dxa"/>
        <w:tblInd w:w="-360" w:type="dxa"/>
        <w:tblLook w:val="04A0" w:firstRow="1" w:lastRow="0" w:firstColumn="1" w:lastColumn="0" w:noHBand="0" w:noVBand="1"/>
      </w:tblPr>
      <w:tblGrid>
        <w:gridCol w:w="3474"/>
        <w:gridCol w:w="992"/>
        <w:gridCol w:w="1134"/>
        <w:gridCol w:w="1134"/>
        <w:gridCol w:w="1134"/>
        <w:gridCol w:w="1134"/>
        <w:gridCol w:w="1134"/>
      </w:tblGrid>
      <w:tr w:rsidRPr="00B80396" w:rsidR="00555156" w:rsidTr="00555156" w14:paraId="5AC3BE1D" w14:textId="5ABA68F6">
        <w:tc>
          <w:tcPr>
            <w:tcW w:w="3474" w:type="dxa"/>
          </w:tcPr>
          <w:p w:rsidRPr="00555156" w:rsidR="00555156" w:rsidP="008B6466" w:rsidRDefault="00555156" w14:paraId="28E5168D" w14:textId="0CFC9596">
            <w:pPr>
              <w:ind w:right="-33"/>
              <w:rPr>
                <w:rFonts w:ascii="Arial" w:hAnsi="Arial" w:cs="Arial"/>
                <w:b/>
              </w:rPr>
            </w:pPr>
            <w:r w:rsidRPr="00555156">
              <w:rPr>
                <w:rFonts w:ascii="Arial" w:hAnsi="Arial" w:cs="Arial"/>
                <w:b/>
              </w:rPr>
              <w:t xml:space="preserve">Summary of Quarter </w:t>
            </w:r>
            <w:r w:rsidR="008B6466">
              <w:rPr>
                <w:rFonts w:ascii="Arial" w:hAnsi="Arial" w:cs="Arial"/>
                <w:b/>
              </w:rPr>
              <w:t>4</w:t>
            </w:r>
            <w:r w:rsidRPr="00555156">
              <w:rPr>
                <w:rFonts w:ascii="Arial" w:hAnsi="Arial" w:cs="Arial"/>
                <w:b/>
              </w:rPr>
              <w:t xml:space="preserve"> position</w:t>
            </w:r>
          </w:p>
        </w:tc>
        <w:tc>
          <w:tcPr>
            <w:tcW w:w="992" w:type="dxa"/>
          </w:tcPr>
          <w:p w:rsidRPr="00555156" w:rsidR="00555156" w:rsidP="00555156" w:rsidRDefault="00555156" w14:paraId="779ED970" w14:textId="77777777">
            <w:pPr>
              <w:ind w:right="-18"/>
              <w:jc w:val="center"/>
              <w:rPr>
                <w:rFonts w:ascii="Arial" w:hAnsi="Arial" w:cs="Arial"/>
                <w:b/>
              </w:rPr>
            </w:pPr>
            <w:r w:rsidRPr="00555156">
              <w:rPr>
                <w:rFonts w:ascii="Arial" w:hAnsi="Arial" w:cs="Arial"/>
                <w:b/>
              </w:rPr>
              <w:t>Total</w:t>
            </w:r>
          </w:p>
        </w:tc>
        <w:tc>
          <w:tcPr>
            <w:tcW w:w="1134" w:type="dxa"/>
            <w:shd w:val="clear" w:color="auto" w:fill="C00000"/>
          </w:tcPr>
          <w:p w:rsidRPr="00555156" w:rsidR="00555156" w:rsidP="00555156" w:rsidRDefault="00555156" w14:paraId="2408A310" w14:textId="77777777">
            <w:pPr>
              <w:ind w:right="-18"/>
              <w:jc w:val="center"/>
              <w:rPr>
                <w:rFonts w:ascii="Arial" w:hAnsi="Arial" w:cs="Arial"/>
                <w:b/>
              </w:rPr>
            </w:pPr>
            <w:r w:rsidRPr="00555156">
              <w:rPr>
                <w:rFonts w:ascii="Arial" w:hAnsi="Arial" w:cs="Arial"/>
                <w:b/>
                <w:color w:val="000000" w:themeColor="text1"/>
              </w:rPr>
              <w:t>Red</w:t>
            </w:r>
          </w:p>
        </w:tc>
        <w:tc>
          <w:tcPr>
            <w:tcW w:w="1134" w:type="dxa"/>
            <w:shd w:val="clear" w:color="auto" w:fill="FFC000"/>
          </w:tcPr>
          <w:p w:rsidRPr="00555156" w:rsidR="00555156" w:rsidP="00555156" w:rsidRDefault="00555156" w14:paraId="7A645C93" w14:textId="77777777">
            <w:pPr>
              <w:jc w:val="center"/>
              <w:rPr>
                <w:rFonts w:ascii="Arial" w:hAnsi="Arial" w:cs="Arial"/>
                <w:b/>
              </w:rPr>
            </w:pPr>
            <w:r w:rsidRPr="00555156">
              <w:rPr>
                <w:rFonts w:ascii="Arial" w:hAnsi="Arial" w:cs="Arial"/>
                <w:b/>
              </w:rPr>
              <w:t>Amber</w:t>
            </w:r>
          </w:p>
        </w:tc>
        <w:tc>
          <w:tcPr>
            <w:tcW w:w="1134" w:type="dxa"/>
            <w:shd w:val="clear" w:color="auto" w:fill="00B050"/>
          </w:tcPr>
          <w:p w:rsidRPr="00555156" w:rsidR="00555156" w:rsidP="00555156" w:rsidRDefault="00555156" w14:paraId="77406358" w14:textId="77777777">
            <w:pPr>
              <w:ind w:right="-18"/>
              <w:jc w:val="center"/>
              <w:rPr>
                <w:rFonts w:ascii="Arial" w:hAnsi="Arial" w:cs="Arial"/>
                <w:b/>
              </w:rPr>
            </w:pPr>
            <w:r w:rsidRPr="00555156">
              <w:rPr>
                <w:rFonts w:ascii="Arial" w:hAnsi="Arial" w:cs="Arial"/>
                <w:b/>
              </w:rPr>
              <w:t>Green</w:t>
            </w:r>
          </w:p>
        </w:tc>
        <w:tc>
          <w:tcPr>
            <w:tcW w:w="1134" w:type="dxa"/>
            <w:shd w:val="clear" w:color="auto" w:fill="0070C0"/>
          </w:tcPr>
          <w:p w:rsidRPr="00555156" w:rsidR="00555156" w:rsidP="00555156" w:rsidRDefault="00555156" w14:paraId="7C300F31" w14:textId="77777777">
            <w:pPr>
              <w:ind w:right="-18"/>
              <w:jc w:val="center"/>
              <w:rPr>
                <w:rFonts w:ascii="Arial" w:hAnsi="Arial" w:cs="Arial"/>
                <w:b/>
              </w:rPr>
            </w:pPr>
            <w:r w:rsidRPr="00555156">
              <w:rPr>
                <w:rFonts w:ascii="Arial" w:hAnsi="Arial" w:cs="Arial"/>
                <w:b/>
              </w:rPr>
              <w:t>Blue</w:t>
            </w:r>
          </w:p>
        </w:tc>
        <w:tc>
          <w:tcPr>
            <w:tcW w:w="1134" w:type="dxa"/>
            <w:shd w:val="clear" w:color="auto" w:fill="A6A6A6" w:themeFill="background1" w:themeFillShade="A6"/>
          </w:tcPr>
          <w:p w:rsidRPr="00555156" w:rsidR="00555156" w:rsidP="00555156" w:rsidRDefault="00555156" w14:paraId="3C598B58" w14:textId="5A32FB7B">
            <w:pPr>
              <w:ind w:right="-18"/>
              <w:jc w:val="center"/>
              <w:rPr>
                <w:rFonts w:ascii="Arial" w:hAnsi="Arial" w:cs="Arial"/>
                <w:b/>
              </w:rPr>
            </w:pPr>
            <w:r w:rsidRPr="00555156">
              <w:rPr>
                <w:rFonts w:ascii="Arial" w:hAnsi="Arial" w:cs="Arial"/>
                <w:b/>
              </w:rPr>
              <w:t>Not targeted</w:t>
            </w:r>
          </w:p>
        </w:tc>
      </w:tr>
      <w:tr w:rsidR="00555156" w:rsidTr="00555156" w14:paraId="6DB1B4DE" w14:textId="5A47E07B">
        <w:tc>
          <w:tcPr>
            <w:tcW w:w="3474" w:type="dxa"/>
          </w:tcPr>
          <w:p w:rsidRPr="00555156" w:rsidR="00555156" w:rsidP="00555156" w:rsidRDefault="00555156" w14:paraId="22614D5B" w14:textId="77777777">
            <w:pPr>
              <w:ind w:right="-18"/>
              <w:rPr>
                <w:rFonts w:ascii="Arial" w:hAnsi="Arial" w:cs="Arial"/>
              </w:rPr>
            </w:pPr>
            <w:r w:rsidRPr="00555156">
              <w:rPr>
                <w:rFonts w:ascii="Arial" w:hAnsi="Arial" w:cs="Arial"/>
              </w:rPr>
              <w:t>Projects/activities</w:t>
            </w:r>
          </w:p>
        </w:tc>
        <w:tc>
          <w:tcPr>
            <w:tcW w:w="992" w:type="dxa"/>
          </w:tcPr>
          <w:p w:rsidRPr="00EB2C1B" w:rsidR="00555156" w:rsidP="00555156" w:rsidRDefault="00F75EEF" w14:paraId="09E16857" w14:textId="14B31E7B">
            <w:pPr>
              <w:jc w:val="center"/>
              <w:rPr>
                <w:rFonts w:ascii="Arial" w:hAnsi="Arial" w:cs="Arial"/>
                <w:highlight w:val="yellow"/>
              </w:rPr>
            </w:pPr>
            <w:r w:rsidRPr="00F75EEF">
              <w:rPr>
                <w:rFonts w:ascii="Arial" w:hAnsi="Arial" w:cs="Arial"/>
              </w:rPr>
              <w:t>19</w:t>
            </w:r>
          </w:p>
        </w:tc>
        <w:tc>
          <w:tcPr>
            <w:tcW w:w="1134" w:type="dxa"/>
            <w:shd w:val="clear" w:color="auto" w:fill="C00000"/>
          </w:tcPr>
          <w:p w:rsidRPr="00C21998" w:rsidR="00555156" w:rsidP="00555156" w:rsidRDefault="00785F35" w14:paraId="276C81A3" w14:textId="5FC34841">
            <w:pPr>
              <w:ind w:right="-18"/>
              <w:jc w:val="center"/>
              <w:rPr>
                <w:rFonts w:ascii="Arial" w:hAnsi="Arial" w:cs="Arial"/>
              </w:rPr>
            </w:pPr>
            <w:r>
              <w:rPr>
                <w:rFonts w:ascii="Arial" w:hAnsi="Arial" w:cs="Arial"/>
              </w:rPr>
              <w:t>0</w:t>
            </w:r>
          </w:p>
        </w:tc>
        <w:tc>
          <w:tcPr>
            <w:tcW w:w="1134" w:type="dxa"/>
            <w:shd w:val="clear" w:color="auto" w:fill="FFC000"/>
          </w:tcPr>
          <w:p w:rsidRPr="00C21998" w:rsidR="00555156" w:rsidP="00555156" w:rsidRDefault="00785F35" w14:paraId="08B60E41" w14:textId="49036912">
            <w:pPr>
              <w:ind w:right="-108"/>
              <w:jc w:val="center"/>
              <w:rPr>
                <w:rFonts w:ascii="Arial" w:hAnsi="Arial" w:cs="Arial"/>
              </w:rPr>
            </w:pPr>
            <w:r>
              <w:rPr>
                <w:rFonts w:ascii="Arial" w:hAnsi="Arial" w:cs="Arial"/>
              </w:rPr>
              <w:t>0</w:t>
            </w:r>
          </w:p>
        </w:tc>
        <w:tc>
          <w:tcPr>
            <w:tcW w:w="1134" w:type="dxa"/>
            <w:shd w:val="clear" w:color="auto" w:fill="00B050"/>
          </w:tcPr>
          <w:p w:rsidRPr="00C21998" w:rsidR="00555156" w:rsidP="0090123D" w:rsidRDefault="00FF4138" w14:paraId="4B4D8464" w14:textId="71C03E67">
            <w:pPr>
              <w:ind w:right="-18"/>
              <w:jc w:val="center"/>
              <w:rPr>
                <w:rFonts w:ascii="Arial" w:hAnsi="Arial" w:cs="Arial"/>
              </w:rPr>
            </w:pPr>
            <w:r>
              <w:rPr>
                <w:rFonts w:ascii="Arial" w:hAnsi="Arial" w:cs="Arial"/>
              </w:rPr>
              <w:t>14</w:t>
            </w:r>
          </w:p>
        </w:tc>
        <w:tc>
          <w:tcPr>
            <w:tcW w:w="1134" w:type="dxa"/>
            <w:shd w:val="clear" w:color="auto" w:fill="0070C0"/>
          </w:tcPr>
          <w:p w:rsidRPr="00C21998" w:rsidR="00555156" w:rsidP="00EB2C1B" w:rsidRDefault="00FF4138" w14:paraId="77DCD3AE" w14:textId="6EEA03FC">
            <w:pPr>
              <w:ind w:right="-18"/>
              <w:jc w:val="center"/>
              <w:rPr>
                <w:rFonts w:ascii="Arial" w:hAnsi="Arial" w:cs="Arial"/>
              </w:rPr>
            </w:pPr>
            <w:r>
              <w:rPr>
                <w:rFonts w:ascii="Arial" w:hAnsi="Arial" w:cs="Arial"/>
              </w:rPr>
              <w:t>5</w:t>
            </w:r>
          </w:p>
        </w:tc>
        <w:tc>
          <w:tcPr>
            <w:tcW w:w="1134" w:type="dxa"/>
            <w:shd w:val="clear" w:color="auto" w:fill="A6A6A6" w:themeFill="background1" w:themeFillShade="A6"/>
          </w:tcPr>
          <w:p w:rsidRPr="0090123D" w:rsidR="00555156" w:rsidP="00555156" w:rsidRDefault="00555156" w14:paraId="127BC5BF" w14:textId="70E68B4D">
            <w:pPr>
              <w:ind w:right="-18"/>
              <w:jc w:val="center"/>
              <w:rPr>
                <w:rFonts w:ascii="Arial" w:hAnsi="Arial" w:cs="Arial"/>
              </w:rPr>
            </w:pPr>
            <w:r w:rsidRPr="0090123D">
              <w:rPr>
                <w:rFonts w:ascii="Arial" w:hAnsi="Arial" w:cs="Arial"/>
              </w:rPr>
              <w:t>-</w:t>
            </w:r>
          </w:p>
        </w:tc>
      </w:tr>
      <w:tr w:rsidR="00597C44" w:rsidTr="00555156" w14:paraId="60449EBE" w14:textId="02F4654D">
        <w:tc>
          <w:tcPr>
            <w:tcW w:w="3474" w:type="dxa"/>
          </w:tcPr>
          <w:p w:rsidRPr="00555156" w:rsidR="00597C44" w:rsidP="00597C44" w:rsidRDefault="00597C44" w14:paraId="55748FD3" w14:textId="7F80F30A">
            <w:pPr>
              <w:ind w:right="-18"/>
              <w:rPr>
                <w:rFonts w:ascii="Arial" w:hAnsi="Arial" w:cs="Arial"/>
              </w:rPr>
            </w:pPr>
            <w:r w:rsidRPr="00555156">
              <w:rPr>
                <w:rFonts w:ascii="Arial" w:hAnsi="Arial" w:cs="Arial"/>
              </w:rPr>
              <w:t>KPIs</w:t>
            </w:r>
            <w:r>
              <w:rPr>
                <w:rFonts w:ascii="Arial" w:hAnsi="Arial" w:cs="Arial"/>
              </w:rPr>
              <w:t xml:space="preserve"> (Q4 value)</w:t>
            </w:r>
          </w:p>
        </w:tc>
        <w:tc>
          <w:tcPr>
            <w:tcW w:w="992" w:type="dxa"/>
          </w:tcPr>
          <w:p w:rsidRPr="00545ADC" w:rsidR="00597C44" w:rsidP="00597C44" w:rsidRDefault="00597C44" w14:paraId="73BE7022" w14:textId="1EE68DBC">
            <w:pPr>
              <w:ind w:right="-44"/>
              <w:jc w:val="center"/>
              <w:rPr>
                <w:rFonts w:ascii="Arial" w:hAnsi="Arial" w:cs="Arial"/>
              </w:rPr>
            </w:pPr>
            <w:r w:rsidRPr="00545ADC">
              <w:rPr>
                <w:rFonts w:ascii="Arial" w:hAnsi="Arial" w:cs="Arial"/>
              </w:rPr>
              <w:t>11</w:t>
            </w:r>
          </w:p>
        </w:tc>
        <w:tc>
          <w:tcPr>
            <w:tcW w:w="1134" w:type="dxa"/>
            <w:shd w:val="clear" w:color="auto" w:fill="C00000"/>
          </w:tcPr>
          <w:p w:rsidRPr="00597C44" w:rsidR="00597C44" w:rsidP="00597C44" w:rsidRDefault="00545ADC" w14:paraId="6BE0CA6D" w14:textId="0B5C3665">
            <w:pPr>
              <w:ind w:right="-18"/>
              <w:jc w:val="center"/>
              <w:rPr>
                <w:rFonts w:ascii="Arial" w:hAnsi="Arial" w:cs="Arial"/>
              </w:rPr>
            </w:pPr>
            <w:r>
              <w:rPr>
                <w:rFonts w:ascii="Arial" w:hAnsi="Arial" w:cs="Arial"/>
              </w:rPr>
              <w:t>2</w:t>
            </w:r>
          </w:p>
        </w:tc>
        <w:tc>
          <w:tcPr>
            <w:tcW w:w="1134" w:type="dxa"/>
            <w:shd w:val="clear" w:color="auto" w:fill="FFC000"/>
          </w:tcPr>
          <w:p w:rsidRPr="00597C44" w:rsidR="00597C44" w:rsidP="00597C44" w:rsidRDefault="00545ADC" w14:paraId="29C29E07" w14:textId="04DFD889">
            <w:pPr>
              <w:ind w:right="-108"/>
              <w:jc w:val="center"/>
              <w:rPr>
                <w:rFonts w:ascii="Arial" w:hAnsi="Arial" w:cs="Arial"/>
              </w:rPr>
            </w:pPr>
            <w:r>
              <w:rPr>
                <w:rFonts w:ascii="Arial" w:hAnsi="Arial" w:cs="Arial"/>
              </w:rPr>
              <w:t>3</w:t>
            </w:r>
          </w:p>
        </w:tc>
        <w:tc>
          <w:tcPr>
            <w:tcW w:w="1134" w:type="dxa"/>
            <w:shd w:val="clear" w:color="auto" w:fill="00B050"/>
          </w:tcPr>
          <w:p w:rsidRPr="00597C44" w:rsidR="00597C44" w:rsidP="00597C44" w:rsidRDefault="00545ADC" w14:paraId="2A3531B6" w14:textId="28447A86">
            <w:pPr>
              <w:ind w:right="-18"/>
              <w:jc w:val="center"/>
              <w:rPr>
                <w:rFonts w:ascii="Arial" w:hAnsi="Arial" w:cs="Arial"/>
              </w:rPr>
            </w:pPr>
            <w:r>
              <w:rPr>
                <w:rFonts w:ascii="Arial" w:hAnsi="Arial" w:cs="Arial"/>
              </w:rPr>
              <w:t>6</w:t>
            </w:r>
          </w:p>
        </w:tc>
        <w:tc>
          <w:tcPr>
            <w:tcW w:w="1134" w:type="dxa"/>
            <w:shd w:val="clear" w:color="auto" w:fill="0070C0"/>
          </w:tcPr>
          <w:p w:rsidRPr="008B6466" w:rsidR="00597C44" w:rsidP="00597C44" w:rsidRDefault="00597C44" w14:paraId="55C0CB50" w14:textId="4602F6AC">
            <w:pPr>
              <w:ind w:right="-18"/>
              <w:jc w:val="center"/>
              <w:rPr>
                <w:rFonts w:ascii="Arial" w:hAnsi="Arial" w:cs="Arial"/>
                <w:highlight w:val="yellow"/>
              </w:rPr>
            </w:pPr>
            <w:r w:rsidRPr="00597C44">
              <w:rPr>
                <w:rFonts w:ascii="Arial" w:hAnsi="Arial" w:cs="Arial"/>
              </w:rPr>
              <w:t>-</w:t>
            </w:r>
          </w:p>
        </w:tc>
        <w:tc>
          <w:tcPr>
            <w:tcW w:w="1134" w:type="dxa"/>
            <w:shd w:val="clear" w:color="auto" w:fill="A6A6A6" w:themeFill="background1" w:themeFillShade="A6"/>
          </w:tcPr>
          <w:p w:rsidRPr="0090123D" w:rsidR="00597C44" w:rsidP="00597C44" w:rsidRDefault="00545ADC" w14:paraId="74DEE827" w14:textId="12C88F69">
            <w:pPr>
              <w:ind w:right="-18"/>
              <w:jc w:val="center"/>
              <w:rPr>
                <w:rFonts w:ascii="Arial" w:hAnsi="Arial" w:cs="Arial"/>
              </w:rPr>
            </w:pPr>
            <w:r>
              <w:rPr>
                <w:rFonts w:ascii="Arial" w:hAnsi="Arial" w:cs="Arial"/>
              </w:rPr>
              <w:t>0</w:t>
            </w:r>
          </w:p>
        </w:tc>
      </w:tr>
      <w:tr w:rsidR="00597C44" w:rsidTr="00555156" w14:paraId="495A40E6" w14:textId="77777777">
        <w:tc>
          <w:tcPr>
            <w:tcW w:w="3474" w:type="dxa"/>
          </w:tcPr>
          <w:p w:rsidRPr="00555156" w:rsidR="00597C44" w:rsidP="00EB2C1B" w:rsidRDefault="00597C44" w14:paraId="3922C9DA" w14:textId="3DC1A6FD">
            <w:pPr>
              <w:ind w:right="-18"/>
              <w:rPr>
                <w:rFonts w:ascii="Arial" w:hAnsi="Arial" w:cs="Arial"/>
              </w:rPr>
            </w:pPr>
            <w:r>
              <w:rPr>
                <w:rFonts w:ascii="Arial" w:hAnsi="Arial" w:cs="Arial"/>
              </w:rPr>
              <w:t>KPIs (</w:t>
            </w:r>
            <w:r w:rsidR="00EB2C1B">
              <w:rPr>
                <w:rFonts w:ascii="Arial" w:hAnsi="Arial" w:cs="Arial"/>
              </w:rPr>
              <w:t>2018/19</w:t>
            </w:r>
            <w:r>
              <w:rPr>
                <w:rFonts w:ascii="Arial" w:hAnsi="Arial" w:cs="Arial"/>
              </w:rPr>
              <w:t xml:space="preserve"> annual value)</w:t>
            </w:r>
          </w:p>
        </w:tc>
        <w:tc>
          <w:tcPr>
            <w:tcW w:w="992" w:type="dxa"/>
          </w:tcPr>
          <w:p w:rsidRPr="00545ADC" w:rsidR="00597C44" w:rsidP="00597C44" w:rsidRDefault="00597C44" w14:paraId="06A68132" w14:textId="76297E08">
            <w:pPr>
              <w:ind w:right="-44"/>
              <w:jc w:val="center"/>
              <w:rPr>
                <w:rFonts w:ascii="Arial" w:hAnsi="Arial" w:cs="Arial"/>
              </w:rPr>
            </w:pPr>
            <w:r w:rsidRPr="00545ADC">
              <w:rPr>
                <w:rFonts w:ascii="Arial" w:hAnsi="Arial" w:cs="Arial"/>
              </w:rPr>
              <w:t>11</w:t>
            </w:r>
          </w:p>
        </w:tc>
        <w:tc>
          <w:tcPr>
            <w:tcW w:w="1134" w:type="dxa"/>
            <w:shd w:val="clear" w:color="auto" w:fill="C00000"/>
          </w:tcPr>
          <w:p w:rsidRPr="00597C44" w:rsidR="00597C44" w:rsidP="00597C44" w:rsidRDefault="00545ADC" w14:paraId="3CB71C34" w14:textId="42BD0EE0">
            <w:pPr>
              <w:ind w:right="-18"/>
              <w:jc w:val="center"/>
              <w:rPr>
                <w:rFonts w:ascii="Arial" w:hAnsi="Arial" w:cs="Arial"/>
              </w:rPr>
            </w:pPr>
            <w:r>
              <w:rPr>
                <w:rFonts w:ascii="Arial" w:hAnsi="Arial" w:cs="Arial"/>
              </w:rPr>
              <w:t>2</w:t>
            </w:r>
          </w:p>
        </w:tc>
        <w:tc>
          <w:tcPr>
            <w:tcW w:w="1134" w:type="dxa"/>
            <w:shd w:val="clear" w:color="auto" w:fill="FFC000"/>
          </w:tcPr>
          <w:p w:rsidRPr="00597C44" w:rsidR="00597C44" w:rsidP="00597C44" w:rsidRDefault="00545ADC" w14:paraId="57C1C3D7" w14:textId="23DBEFFE">
            <w:pPr>
              <w:ind w:right="-108"/>
              <w:jc w:val="center"/>
              <w:rPr>
                <w:rFonts w:ascii="Arial" w:hAnsi="Arial" w:cs="Arial"/>
              </w:rPr>
            </w:pPr>
            <w:r>
              <w:rPr>
                <w:rFonts w:ascii="Arial" w:hAnsi="Arial" w:cs="Arial"/>
              </w:rPr>
              <w:t>5</w:t>
            </w:r>
          </w:p>
        </w:tc>
        <w:tc>
          <w:tcPr>
            <w:tcW w:w="1134" w:type="dxa"/>
            <w:shd w:val="clear" w:color="auto" w:fill="00B050"/>
          </w:tcPr>
          <w:p w:rsidRPr="00597C44" w:rsidR="00597C44" w:rsidP="00597C44" w:rsidRDefault="00545ADC" w14:paraId="3F82FDDA" w14:textId="06356F85">
            <w:pPr>
              <w:ind w:right="-18"/>
              <w:jc w:val="center"/>
              <w:rPr>
                <w:rFonts w:ascii="Arial" w:hAnsi="Arial" w:cs="Arial"/>
              </w:rPr>
            </w:pPr>
            <w:r>
              <w:rPr>
                <w:rFonts w:ascii="Arial" w:hAnsi="Arial" w:cs="Arial"/>
              </w:rPr>
              <w:t>4</w:t>
            </w:r>
          </w:p>
        </w:tc>
        <w:tc>
          <w:tcPr>
            <w:tcW w:w="1134" w:type="dxa"/>
            <w:shd w:val="clear" w:color="auto" w:fill="0070C0"/>
          </w:tcPr>
          <w:p w:rsidRPr="008B6466" w:rsidR="00597C44" w:rsidP="00597C44" w:rsidRDefault="00597C44" w14:paraId="1F515982" w14:textId="466D64DB">
            <w:pPr>
              <w:ind w:right="-18"/>
              <w:jc w:val="center"/>
              <w:rPr>
                <w:rFonts w:ascii="Arial" w:hAnsi="Arial" w:cs="Arial"/>
                <w:highlight w:val="yellow"/>
              </w:rPr>
            </w:pPr>
            <w:r w:rsidRPr="00597C44">
              <w:rPr>
                <w:rFonts w:ascii="Arial" w:hAnsi="Arial" w:cs="Arial"/>
              </w:rPr>
              <w:t>-</w:t>
            </w:r>
          </w:p>
        </w:tc>
        <w:tc>
          <w:tcPr>
            <w:tcW w:w="1134" w:type="dxa"/>
            <w:shd w:val="clear" w:color="auto" w:fill="A6A6A6" w:themeFill="background1" w:themeFillShade="A6"/>
          </w:tcPr>
          <w:p w:rsidRPr="0090123D" w:rsidR="00597C44" w:rsidP="00597C44" w:rsidRDefault="00545ADC" w14:paraId="0EE38461" w14:textId="3C11DAF8">
            <w:pPr>
              <w:ind w:right="-18"/>
              <w:jc w:val="center"/>
              <w:rPr>
                <w:rFonts w:ascii="Arial" w:hAnsi="Arial" w:cs="Arial"/>
              </w:rPr>
            </w:pPr>
            <w:r>
              <w:rPr>
                <w:rFonts w:ascii="Arial" w:hAnsi="Arial" w:cs="Arial"/>
              </w:rPr>
              <w:t>0</w:t>
            </w:r>
          </w:p>
        </w:tc>
      </w:tr>
    </w:tbl>
    <w:p w:rsidRPr="00FA4733" w:rsidR="0074373E" w:rsidP="0074373E" w:rsidRDefault="0074373E" w14:paraId="6D33C2BA" w14:textId="77777777">
      <w:pPr>
        <w:spacing w:after="0" w:line="240" w:lineRule="auto"/>
        <w:ind w:left="-360" w:right="-810"/>
        <w:rPr>
          <w:rFonts w:ascii="Arial" w:hAnsi="Arial" w:cs="Arial"/>
          <w:sz w:val="28"/>
        </w:rPr>
      </w:pPr>
    </w:p>
    <w:p w:rsidRPr="00233DBF" w:rsidR="00503568" w:rsidP="00233DBF" w:rsidRDefault="00503568" w14:paraId="2A95F023" w14:textId="12322126">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Projects/activities</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 xml:space="preserve">(Appendix </w:t>
      </w:r>
      <w:r w:rsidR="008179C9">
        <w:rPr>
          <w:rFonts w:ascii="Arial" w:hAnsi="Arial" w:cs="Arial"/>
          <w:color w:val="000000" w:themeColor="text1"/>
          <w:sz w:val="28"/>
          <w:szCs w:val="24"/>
        </w:rPr>
        <w:t>A</w:t>
      </w:r>
      <w:r w:rsidRPr="008179C9" w:rsidR="008179C9">
        <w:rPr>
          <w:rFonts w:ascii="Arial" w:hAnsi="Arial" w:cs="Arial"/>
          <w:color w:val="000000" w:themeColor="text1"/>
          <w:sz w:val="28"/>
          <w:szCs w:val="24"/>
        </w:rPr>
        <w:t>)</w:t>
      </w:r>
    </w:p>
    <w:p w:rsidRPr="00B40874" w:rsidR="00503568" w:rsidP="00503568" w:rsidRDefault="00503568" w14:paraId="552A2C74" w14:textId="5E91F7AC">
      <w:pPr>
        <w:spacing w:after="0" w:line="240" w:lineRule="auto"/>
        <w:ind w:left="-360" w:right="-806"/>
        <w:rPr>
          <w:rFonts w:ascii="Arial" w:hAnsi="Arial" w:cs="Arial"/>
          <w:b/>
          <w:color w:val="4472C4" w:themeColor="accent5"/>
          <w:sz w:val="24"/>
          <w:szCs w:val="24"/>
        </w:rPr>
      </w:pPr>
    </w:p>
    <w:p w:rsidRPr="0011710A" w:rsidR="00B40874" w:rsidP="00B40874" w:rsidRDefault="00B40874" w14:paraId="20D75B8D" w14:textId="52CFC8A7">
      <w:pPr>
        <w:spacing w:after="120" w:line="240" w:lineRule="auto"/>
        <w:ind w:left="-357" w:right="-805"/>
        <w:rPr>
          <w:rFonts w:ascii="Arial" w:hAnsi="Arial" w:cs="Arial"/>
          <w:b/>
          <w:color w:val="0070C0"/>
          <w:sz w:val="24"/>
          <w:szCs w:val="24"/>
        </w:rPr>
      </w:pPr>
      <w:r w:rsidRPr="00F957FE">
        <w:rPr>
          <w:rFonts w:ascii="Arial" w:hAnsi="Arial" w:cs="Arial"/>
          <w:b/>
          <w:color w:val="0070C0"/>
          <w:sz w:val="24"/>
          <w:szCs w:val="24"/>
        </w:rPr>
        <w:t xml:space="preserve">Blue </w:t>
      </w:r>
      <w:r w:rsidR="00DE0E50">
        <w:rPr>
          <w:rFonts w:ascii="Arial" w:hAnsi="Arial" w:cs="Arial"/>
          <w:b/>
          <w:color w:val="0070C0"/>
          <w:sz w:val="24"/>
          <w:szCs w:val="24"/>
        </w:rPr>
        <w:t xml:space="preserve">highlights </w:t>
      </w:r>
      <w:r w:rsidRPr="0011710A" w:rsidR="00654C2D">
        <w:rPr>
          <w:rFonts w:ascii="Arial" w:hAnsi="Arial" w:cs="Arial"/>
          <w:b/>
          <w:color w:val="0070C0"/>
          <w:sz w:val="24"/>
          <w:szCs w:val="24"/>
        </w:rPr>
        <w:t>–</w:t>
      </w:r>
      <w:r w:rsidRPr="0011710A">
        <w:rPr>
          <w:rFonts w:ascii="Arial" w:hAnsi="Arial" w:cs="Arial"/>
          <w:b/>
          <w:color w:val="0070C0"/>
          <w:sz w:val="24"/>
          <w:szCs w:val="24"/>
        </w:rPr>
        <w:t xml:space="preserve"> completed</w:t>
      </w:r>
      <w:r w:rsidRPr="0011710A" w:rsidR="00654C2D">
        <w:rPr>
          <w:rFonts w:ascii="Arial" w:hAnsi="Arial" w:cs="Arial"/>
          <w:b/>
          <w:color w:val="0070C0"/>
          <w:sz w:val="24"/>
          <w:szCs w:val="24"/>
        </w:rPr>
        <w:t xml:space="preserve"> this quarter</w:t>
      </w:r>
    </w:p>
    <w:p w:rsidRPr="001868DD" w:rsidR="00DE0E50" w:rsidP="00DE0E50" w:rsidRDefault="00DE0E50" w14:paraId="284DAFDB" w14:textId="77777777">
      <w:pPr>
        <w:pStyle w:val="ListParagraph"/>
        <w:numPr>
          <w:ilvl w:val="0"/>
          <w:numId w:val="34"/>
        </w:numPr>
        <w:spacing w:after="120" w:line="240" w:lineRule="auto"/>
        <w:ind w:left="0" w:right="-805" w:hanging="284"/>
        <w:contextualSpacing w:val="0"/>
        <w:rPr>
          <w:rFonts w:ascii="Arial" w:hAnsi="Arial" w:cs="Arial"/>
        </w:rPr>
      </w:pPr>
      <w:r w:rsidRPr="001868DD">
        <w:rPr>
          <w:rFonts w:ascii="Arial" w:hAnsi="Arial" w:cs="Arial"/>
        </w:rPr>
        <w:t>All existing animal establishments have been subjected to the new risk rated regime that was introduced in 2018 and new licences have been or are in the process of being issued. (4.12)</w:t>
      </w:r>
    </w:p>
    <w:p w:rsidRPr="001868DD" w:rsidR="00DE0E50" w:rsidP="00DE0E50" w:rsidRDefault="00DE0E50" w14:paraId="476035B5" w14:textId="77777777">
      <w:pPr>
        <w:pStyle w:val="ListParagraph"/>
        <w:numPr>
          <w:ilvl w:val="0"/>
          <w:numId w:val="34"/>
        </w:numPr>
        <w:spacing w:after="120" w:line="240" w:lineRule="auto"/>
        <w:ind w:left="0" w:right="-805" w:hanging="284"/>
        <w:contextualSpacing w:val="0"/>
        <w:rPr>
          <w:rFonts w:ascii="Arial" w:hAnsi="Arial" w:cs="Arial"/>
        </w:rPr>
      </w:pPr>
      <w:r w:rsidRPr="001868DD">
        <w:rPr>
          <w:rFonts w:ascii="Arial" w:hAnsi="Arial" w:cs="Arial"/>
        </w:rPr>
        <w:t>2018/19 Housing Grants and Assistance programme delivery - the Disabled Facilities Grant (DFG) and Discretionary Grant budgets have been spent in full with a total of 170 DFGs and 46 Discretionary grants approved. The team have reduced the average time from initial contact with the occupational therapist to completion of the grant to 6 months (from 12 months in 2014/15). (4.14)</w:t>
      </w:r>
    </w:p>
    <w:p w:rsidRPr="001868DD" w:rsidR="00DE0E50" w:rsidP="00DE0E50" w:rsidRDefault="004D11DC" w14:paraId="50F92FBA" w14:textId="4A6329AF">
      <w:pPr>
        <w:pStyle w:val="ListParagraph"/>
        <w:numPr>
          <w:ilvl w:val="0"/>
          <w:numId w:val="34"/>
        </w:numPr>
        <w:spacing w:after="120" w:line="240" w:lineRule="auto"/>
        <w:ind w:left="0" w:right="-805" w:hanging="284"/>
        <w:contextualSpacing w:val="0"/>
        <w:rPr>
          <w:rFonts w:ascii="Arial" w:hAnsi="Arial" w:cs="Arial"/>
        </w:rPr>
      </w:pPr>
      <w:r w:rsidRPr="001868DD">
        <w:rPr>
          <w:rFonts w:ascii="Arial" w:hAnsi="Arial" w:cs="Arial"/>
        </w:rPr>
        <w:t>The Council was awarded S</w:t>
      </w:r>
      <w:r w:rsidRPr="001868DD" w:rsidR="00DE0E50">
        <w:rPr>
          <w:rFonts w:ascii="Arial" w:hAnsi="Arial" w:cs="Arial"/>
        </w:rPr>
        <w:t>ilver in the Better Health at Work Award (4.17).</w:t>
      </w:r>
    </w:p>
    <w:p w:rsidRPr="00654C2D" w:rsidR="00B40874" w:rsidP="004A48AB" w:rsidRDefault="00B40874" w14:paraId="53852EEA" w14:textId="0FF3BFAB">
      <w:pPr>
        <w:spacing w:after="120" w:line="240" w:lineRule="auto"/>
        <w:ind w:left="-357" w:right="-805"/>
        <w:rPr>
          <w:rFonts w:ascii="Arial" w:hAnsi="Arial" w:cs="Arial"/>
          <w:b/>
          <w:color w:val="00B050"/>
          <w:sz w:val="24"/>
          <w:szCs w:val="24"/>
        </w:rPr>
      </w:pPr>
      <w:r w:rsidRPr="00654C2D">
        <w:rPr>
          <w:rFonts w:ascii="Arial" w:hAnsi="Arial" w:cs="Arial"/>
          <w:b/>
          <w:color w:val="00B050"/>
          <w:sz w:val="24"/>
          <w:szCs w:val="24"/>
        </w:rPr>
        <w:t>Green highlights</w:t>
      </w:r>
    </w:p>
    <w:p w:rsidRPr="00C350E4" w:rsidR="00C350E4" w:rsidP="00C350E4" w:rsidRDefault="00C350E4" w14:paraId="131002CA" w14:textId="31B475A4">
      <w:pPr>
        <w:pStyle w:val="ListParagraph"/>
        <w:numPr>
          <w:ilvl w:val="0"/>
          <w:numId w:val="35"/>
        </w:numPr>
        <w:spacing w:after="120" w:line="240" w:lineRule="auto"/>
        <w:ind w:left="0" w:right="-805" w:hanging="284"/>
        <w:contextualSpacing w:val="0"/>
        <w:rPr>
          <w:rFonts w:ascii="Arial" w:hAnsi="Arial" w:cs="Arial"/>
          <w:szCs w:val="24"/>
        </w:rPr>
      </w:pPr>
      <w:r w:rsidRPr="00C350E4">
        <w:rPr>
          <w:rFonts w:ascii="Arial" w:hAnsi="Arial" w:cs="Arial"/>
          <w:szCs w:val="24"/>
        </w:rPr>
        <w:t>GLL has Launched Dementia Football on Tuesday at Cockermouth Leisure Centre as well as</w:t>
      </w:r>
      <w:r w:rsidR="004D11DC">
        <w:rPr>
          <w:rFonts w:ascii="Arial" w:hAnsi="Arial" w:cs="Arial"/>
          <w:szCs w:val="24"/>
        </w:rPr>
        <w:t xml:space="preserve"> the</w:t>
      </w:r>
      <w:r w:rsidRPr="00C350E4">
        <w:rPr>
          <w:rFonts w:ascii="Arial" w:hAnsi="Arial" w:cs="Arial"/>
          <w:szCs w:val="24"/>
        </w:rPr>
        <w:t xml:space="preserve"> junior gym Friday night project in partnership with Cumbria Youth Alliance. (4.4)</w:t>
      </w:r>
    </w:p>
    <w:p w:rsidRPr="00C350E4" w:rsidR="00C21998" w:rsidP="00C350E4" w:rsidRDefault="00C350E4" w14:paraId="134F2967" w14:textId="08A57B91">
      <w:pPr>
        <w:pStyle w:val="ListParagraph"/>
        <w:numPr>
          <w:ilvl w:val="0"/>
          <w:numId w:val="35"/>
        </w:numPr>
        <w:spacing w:after="120" w:line="240" w:lineRule="auto"/>
        <w:ind w:left="0" w:right="-805" w:hanging="284"/>
        <w:contextualSpacing w:val="0"/>
        <w:rPr>
          <w:rFonts w:ascii="Arial" w:hAnsi="Arial" w:cs="Arial"/>
          <w:szCs w:val="24"/>
        </w:rPr>
      </w:pPr>
      <w:r w:rsidRPr="00C350E4">
        <w:rPr>
          <w:rFonts w:ascii="Arial" w:hAnsi="Arial" w:cs="Arial"/>
          <w:szCs w:val="24"/>
        </w:rPr>
        <w:t>The Workington Healthwise programme has gone from strength to strength with currently 61 active users on the scheme. The scheme is now extending to Wigton. (</w:t>
      </w:r>
      <w:r w:rsidRPr="00C350E4" w:rsidR="00C21998">
        <w:rPr>
          <w:rFonts w:ascii="Arial" w:hAnsi="Arial" w:cs="Arial"/>
          <w:szCs w:val="24"/>
        </w:rPr>
        <w:t>4.6)</w:t>
      </w:r>
    </w:p>
    <w:p w:rsidR="00913E33" w:rsidP="003A7CAD" w:rsidRDefault="00913E33" w14:paraId="7F4AB37B" w14:textId="7359E2CB">
      <w:pPr>
        <w:spacing w:after="0" w:line="240" w:lineRule="auto"/>
        <w:ind w:right="-806"/>
        <w:rPr>
          <w:rFonts w:ascii="Arial" w:hAnsi="Arial" w:cs="Arial"/>
          <w:sz w:val="24"/>
          <w:szCs w:val="24"/>
        </w:rPr>
      </w:pPr>
    </w:p>
    <w:p w:rsidRPr="00233DBF" w:rsidR="00503568" w:rsidP="00233DBF" w:rsidRDefault="00503568" w14:paraId="25778B56" w14:textId="11AC1624">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Key performance indicators</w:t>
      </w:r>
      <w:r w:rsidR="001B0F23">
        <w:rPr>
          <w:rFonts w:ascii="Arial" w:hAnsi="Arial" w:cs="Arial"/>
          <w:b/>
          <w:color w:val="000000" w:themeColor="text1"/>
          <w:sz w:val="28"/>
          <w:szCs w:val="24"/>
        </w:rPr>
        <w:t xml:space="preserve"> (annual outturn)</w:t>
      </w:r>
      <w:r w:rsidR="001B0F23">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B)</w:t>
      </w:r>
    </w:p>
    <w:p w:rsidRPr="00C350E4" w:rsidR="00503568" w:rsidP="00503568" w:rsidRDefault="00503568" w14:paraId="7629388E" w14:textId="4FBF0531">
      <w:pPr>
        <w:spacing w:after="0" w:line="240" w:lineRule="auto"/>
        <w:ind w:left="-360" w:right="-806"/>
        <w:rPr>
          <w:rFonts w:ascii="Arial" w:hAnsi="Arial" w:cs="Arial"/>
          <w:szCs w:val="24"/>
        </w:rPr>
      </w:pPr>
    </w:p>
    <w:p w:rsidR="00C70C2F" w:rsidP="00503568" w:rsidRDefault="00C70C2F" w14:paraId="6E370064" w14:textId="1CB3DEC4">
      <w:pPr>
        <w:spacing w:after="0" w:line="240" w:lineRule="auto"/>
        <w:ind w:left="-360" w:right="-806"/>
        <w:rPr>
          <w:rFonts w:ascii="Arial" w:hAnsi="Arial" w:cs="Arial"/>
          <w:sz w:val="24"/>
          <w:szCs w:val="24"/>
        </w:rPr>
      </w:pPr>
      <w:r w:rsidRPr="00AE4C66">
        <w:rPr>
          <w:rFonts w:ascii="Arial" w:hAnsi="Arial" w:cs="Arial"/>
          <w:b/>
          <w:color w:val="00B050"/>
          <w:sz w:val="24"/>
          <w:szCs w:val="24"/>
        </w:rPr>
        <w:t>Green highlights</w:t>
      </w:r>
    </w:p>
    <w:p w:rsidRPr="005B62B9" w:rsidR="005B62B9" w:rsidP="005B62B9" w:rsidRDefault="00C70C2F" w14:paraId="728C770B" w14:textId="77777777">
      <w:pPr>
        <w:pStyle w:val="ListParagraph"/>
        <w:numPr>
          <w:ilvl w:val="0"/>
          <w:numId w:val="21"/>
        </w:numPr>
        <w:spacing w:before="120" w:after="0" w:line="240" w:lineRule="auto"/>
        <w:ind w:left="0" w:right="-805" w:hanging="284"/>
        <w:contextualSpacing w:val="0"/>
        <w:rPr>
          <w:rFonts w:ascii="Arial" w:hAnsi="Arial" w:cs="Arial"/>
          <w:sz w:val="24"/>
          <w:szCs w:val="24"/>
        </w:rPr>
      </w:pPr>
      <w:r w:rsidRPr="005B62B9">
        <w:rPr>
          <w:rFonts w:ascii="Arial" w:hAnsi="Arial" w:cs="Arial"/>
          <w:szCs w:val="24"/>
        </w:rPr>
        <w:t>Workington Leisure Centre usage by target groups above target (KCS04a, KCS04b, KCS04c)</w:t>
      </w:r>
    </w:p>
    <w:p w:rsidRPr="005B62B9" w:rsidR="00C70C2F" w:rsidP="005B62B9" w:rsidRDefault="005B62B9" w14:paraId="36AF3B48" w14:textId="7A55631A">
      <w:pPr>
        <w:pStyle w:val="ListParagraph"/>
        <w:numPr>
          <w:ilvl w:val="0"/>
          <w:numId w:val="21"/>
        </w:numPr>
        <w:spacing w:before="120" w:after="0" w:line="240" w:lineRule="auto"/>
        <w:ind w:left="0" w:right="-805" w:hanging="284"/>
        <w:contextualSpacing w:val="0"/>
        <w:rPr>
          <w:rFonts w:ascii="Arial" w:hAnsi="Arial" w:cs="Arial"/>
          <w:sz w:val="24"/>
          <w:szCs w:val="24"/>
        </w:rPr>
      </w:pPr>
      <w:r>
        <w:rPr>
          <w:rFonts w:ascii="Arial" w:hAnsi="Arial" w:cs="Arial"/>
          <w:szCs w:val="24"/>
        </w:rPr>
        <w:t>97</w:t>
      </w:r>
      <w:r w:rsidRPr="005B62B9">
        <w:rPr>
          <w:rFonts w:ascii="Arial" w:hAnsi="Arial" w:cs="Arial"/>
          <w:szCs w:val="24"/>
        </w:rPr>
        <w:t>% of Discretionary Housing Grant Assistance approved within 12 weeks of first inspection date</w:t>
      </w:r>
      <w:r>
        <w:rPr>
          <w:rFonts w:ascii="Arial" w:hAnsi="Arial" w:cs="Arial"/>
          <w:szCs w:val="24"/>
        </w:rPr>
        <w:t xml:space="preserve"> against a target of 85% (KHH08a)</w:t>
      </w:r>
    </w:p>
    <w:p w:rsidRPr="00C350E4" w:rsidR="005B62B9" w:rsidP="005B62B9" w:rsidRDefault="005B62B9" w14:paraId="38C7D2C2" w14:textId="77777777">
      <w:pPr>
        <w:pStyle w:val="ListParagraph"/>
        <w:spacing w:after="0" w:line="240" w:lineRule="auto"/>
        <w:ind w:left="0" w:right="-805"/>
        <w:contextualSpacing w:val="0"/>
        <w:rPr>
          <w:rFonts w:ascii="Arial" w:hAnsi="Arial" w:cs="Arial"/>
          <w:szCs w:val="24"/>
        </w:rPr>
      </w:pPr>
    </w:p>
    <w:p w:rsidRPr="007F0F1D" w:rsidR="00F05F84" w:rsidP="00F05F84" w:rsidRDefault="00F05F84" w14:paraId="02E69CAE" w14:textId="77777777">
      <w:pPr>
        <w:spacing w:after="120" w:line="240" w:lineRule="auto"/>
        <w:ind w:left="-357" w:right="-612"/>
        <w:rPr>
          <w:rFonts w:ascii="Arial" w:hAnsi="Arial" w:cs="Arial"/>
          <w:b/>
          <w:color w:val="00B050"/>
          <w:sz w:val="24"/>
          <w:szCs w:val="24"/>
        </w:rPr>
      </w:pPr>
      <w:r w:rsidRPr="007F0F1D">
        <w:rPr>
          <w:rFonts w:ascii="Arial" w:hAnsi="Arial" w:cs="Arial"/>
          <w:b/>
          <w:color w:val="FFC000"/>
          <w:sz w:val="24"/>
          <w:szCs w:val="24"/>
        </w:rPr>
        <w:t>Amber – areas to watch</w:t>
      </w:r>
    </w:p>
    <w:p w:rsidRPr="00F05F84" w:rsidR="00F05F84" w:rsidP="00F05F84" w:rsidRDefault="00F05F84" w14:paraId="64157B9A" w14:textId="77777777">
      <w:pPr>
        <w:pStyle w:val="ListParagraph"/>
        <w:numPr>
          <w:ilvl w:val="0"/>
          <w:numId w:val="40"/>
        </w:numPr>
        <w:spacing w:before="120" w:after="80" w:line="240" w:lineRule="auto"/>
        <w:ind w:left="0" w:right="-805" w:hanging="284"/>
        <w:contextualSpacing w:val="0"/>
        <w:rPr>
          <w:rFonts w:ascii="Arial" w:hAnsi="Arial" w:cs="Arial"/>
          <w:szCs w:val="23"/>
        </w:rPr>
      </w:pPr>
      <w:r w:rsidRPr="00F05F84">
        <w:rPr>
          <w:rFonts w:ascii="Arial" w:hAnsi="Arial" w:cs="Arial"/>
          <w:szCs w:val="23"/>
        </w:rPr>
        <w:t>Keswick Leisure Centre usage - 74,462 against a target of 80,666.</w:t>
      </w:r>
      <w:r>
        <w:rPr>
          <w:rFonts w:ascii="Arial" w:hAnsi="Arial" w:cs="Arial"/>
          <w:szCs w:val="23"/>
        </w:rPr>
        <w:t xml:space="preserve"> (KCS03a)</w:t>
      </w:r>
    </w:p>
    <w:p w:rsidRPr="00F05F84" w:rsidR="00F05F84" w:rsidP="00F05F84" w:rsidRDefault="00F05F84" w14:paraId="2733AC39" w14:textId="77777777">
      <w:pPr>
        <w:pStyle w:val="Default"/>
        <w:numPr>
          <w:ilvl w:val="0"/>
          <w:numId w:val="40"/>
        </w:numPr>
        <w:spacing w:after="80"/>
        <w:ind w:left="0" w:hanging="284"/>
        <w:rPr>
          <w:sz w:val="22"/>
          <w:szCs w:val="23"/>
        </w:rPr>
      </w:pPr>
      <w:r w:rsidRPr="00F05F84">
        <w:rPr>
          <w:sz w:val="22"/>
          <w:szCs w:val="23"/>
        </w:rPr>
        <w:t>Cockermouth Leisure Centre usage – 175,490 against a target of 180,966.</w:t>
      </w:r>
      <w:r>
        <w:rPr>
          <w:sz w:val="22"/>
          <w:szCs w:val="23"/>
        </w:rPr>
        <w:t xml:space="preserve"> (KCS03b)</w:t>
      </w:r>
    </w:p>
    <w:p w:rsidRPr="00F05F84" w:rsidR="00F05F84" w:rsidP="00F05F84" w:rsidRDefault="00F05F84" w14:paraId="0462D90F" w14:textId="77777777">
      <w:pPr>
        <w:pStyle w:val="Default"/>
        <w:numPr>
          <w:ilvl w:val="0"/>
          <w:numId w:val="40"/>
        </w:numPr>
        <w:spacing w:after="80"/>
        <w:ind w:left="0" w:hanging="284"/>
        <w:rPr>
          <w:sz w:val="22"/>
          <w:szCs w:val="23"/>
        </w:rPr>
      </w:pPr>
      <w:r w:rsidRPr="00F05F84">
        <w:rPr>
          <w:sz w:val="22"/>
          <w:szCs w:val="23"/>
        </w:rPr>
        <w:t>Workington Leisure Centre usage – 312,374 against a target 321,509.</w:t>
      </w:r>
      <w:r>
        <w:rPr>
          <w:sz w:val="22"/>
          <w:szCs w:val="23"/>
        </w:rPr>
        <w:t xml:space="preserve"> (KCS03c)</w:t>
      </w:r>
    </w:p>
    <w:p w:rsidRPr="00F05F84" w:rsidR="00F05F84" w:rsidP="00F05F84" w:rsidRDefault="00F05F84" w14:paraId="5F2DB976" w14:textId="77777777">
      <w:pPr>
        <w:pStyle w:val="Default"/>
        <w:numPr>
          <w:ilvl w:val="0"/>
          <w:numId w:val="40"/>
        </w:numPr>
        <w:spacing w:after="80"/>
        <w:ind w:left="0" w:hanging="284"/>
        <w:rPr>
          <w:sz w:val="22"/>
          <w:szCs w:val="23"/>
        </w:rPr>
      </w:pPr>
      <w:r w:rsidRPr="00F05F84">
        <w:rPr>
          <w:sz w:val="22"/>
          <w:szCs w:val="23"/>
        </w:rPr>
        <w:t>Proportion of Disabled Facilities Grants approved within 10 weeks from receipt of referral to approval - 77% against a target of 85%.</w:t>
      </w:r>
      <w:r>
        <w:rPr>
          <w:sz w:val="22"/>
          <w:szCs w:val="23"/>
        </w:rPr>
        <w:t xml:space="preserve"> (</w:t>
      </w:r>
      <w:r w:rsidRPr="00F05F84">
        <w:rPr>
          <w:sz w:val="22"/>
          <w:szCs w:val="23"/>
        </w:rPr>
        <w:t>KHH07</w:t>
      </w:r>
      <w:r>
        <w:rPr>
          <w:sz w:val="22"/>
          <w:szCs w:val="23"/>
        </w:rPr>
        <w:t>)</w:t>
      </w:r>
    </w:p>
    <w:p w:rsidRPr="00F05F84" w:rsidR="00F05F84" w:rsidP="00F05F84" w:rsidRDefault="00F05F84" w14:paraId="7830D9BA" w14:textId="77777777">
      <w:pPr>
        <w:pStyle w:val="Default"/>
        <w:numPr>
          <w:ilvl w:val="0"/>
          <w:numId w:val="40"/>
        </w:numPr>
        <w:ind w:left="0" w:hanging="284"/>
        <w:rPr>
          <w:sz w:val="22"/>
          <w:szCs w:val="23"/>
        </w:rPr>
      </w:pPr>
      <w:r w:rsidRPr="00F05F84">
        <w:rPr>
          <w:sz w:val="22"/>
          <w:szCs w:val="23"/>
        </w:rPr>
        <w:t>Proportion of programmed water supply sampling carried out – 95% against a target of 100%.</w:t>
      </w:r>
      <w:r>
        <w:rPr>
          <w:sz w:val="22"/>
          <w:szCs w:val="23"/>
        </w:rPr>
        <w:t xml:space="preserve"> (KHH09)</w:t>
      </w:r>
    </w:p>
    <w:p w:rsidRPr="00BA7266" w:rsidR="00F05F84" w:rsidP="005B62B9" w:rsidRDefault="00F05F84" w14:paraId="3450F917" w14:textId="77777777">
      <w:pPr>
        <w:spacing w:after="0" w:line="240" w:lineRule="auto"/>
        <w:ind w:left="-357" w:right="-805"/>
        <w:rPr>
          <w:rFonts w:ascii="Arial" w:hAnsi="Arial" w:cs="Arial"/>
          <w:b/>
          <w:color w:val="C00000"/>
          <w:sz w:val="14"/>
          <w:szCs w:val="24"/>
        </w:rPr>
      </w:pPr>
    </w:p>
    <w:p w:rsidR="00C70C2F" w:rsidP="00BA7266" w:rsidRDefault="00C70C2F" w14:paraId="2F1C3B06" w14:textId="799391F9">
      <w:pPr>
        <w:spacing w:after="40" w:line="240" w:lineRule="auto"/>
        <w:ind w:left="-357" w:right="-805"/>
        <w:rPr>
          <w:rFonts w:ascii="Arial" w:hAnsi="Arial" w:cs="Arial"/>
          <w:szCs w:val="24"/>
        </w:rPr>
      </w:pPr>
      <w:r w:rsidRPr="008A62B0">
        <w:rPr>
          <w:rFonts w:ascii="Arial" w:hAnsi="Arial" w:cs="Arial"/>
          <w:b/>
          <w:color w:val="C00000"/>
          <w:sz w:val="24"/>
          <w:szCs w:val="24"/>
        </w:rPr>
        <w:t xml:space="preserve">Red </w:t>
      </w:r>
    </w:p>
    <w:p w:rsidRPr="00BA7266" w:rsidR="005B62B9" w:rsidP="00BA7266" w:rsidRDefault="005B62B9" w14:paraId="2040368D" w14:textId="18BA2A5D">
      <w:pPr>
        <w:pStyle w:val="Default"/>
        <w:numPr>
          <w:ilvl w:val="0"/>
          <w:numId w:val="38"/>
        </w:numPr>
        <w:spacing w:after="40"/>
        <w:ind w:left="0" w:hanging="284"/>
        <w:rPr>
          <w:color w:val="auto"/>
          <w:sz w:val="22"/>
          <w:szCs w:val="22"/>
        </w:rPr>
      </w:pPr>
      <w:r w:rsidRPr="00BA7266">
        <w:rPr>
          <w:sz w:val="22"/>
          <w:szCs w:val="22"/>
        </w:rPr>
        <w:t xml:space="preserve">Wave </w:t>
      </w:r>
      <w:r w:rsidRPr="00BA7266">
        <w:rPr>
          <w:color w:val="auto"/>
          <w:sz w:val="22"/>
          <w:szCs w:val="22"/>
        </w:rPr>
        <w:t>Centre usage – 25,</w:t>
      </w:r>
      <w:r w:rsidRPr="00BA7266" w:rsidR="00BA7266">
        <w:rPr>
          <w:color w:val="auto"/>
          <w:sz w:val="22"/>
          <w:szCs w:val="22"/>
        </w:rPr>
        <w:t xml:space="preserve">395 against a target of 32,935 </w:t>
      </w:r>
      <w:r w:rsidRPr="00BA7266" w:rsidR="007000EC">
        <w:rPr>
          <w:color w:val="auto"/>
          <w:sz w:val="22"/>
          <w:szCs w:val="22"/>
        </w:rPr>
        <w:t>(KCS03d)</w:t>
      </w:r>
      <w:r w:rsidRPr="00BA7266" w:rsidR="00BA7266">
        <w:rPr>
          <w:color w:val="auto"/>
          <w:sz w:val="22"/>
          <w:szCs w:val="22"/>
        </w:rPr>
        <w:t xml:space="preserve">. </w:t>
      </w:r>
      <w:r w:rsidRPr="00BA7266" w:rsidR="007000EC">
        <w:rPr>
          <w:color w:val="auto"/>
          <w:sz w:val="22"/>
          <w:szCs w:val="22"/>
        </w:rPr>
        <w:t>A package of centre improvements continue to be implemented to increase usage further.</w:t>
      </w:r>
      <w:r w:rsidRPr="00BA7266">
        <w:rPr>
          <w:color w:val="auto"/>
          <w:sz w:val="22"/>
          <w:szCs w:val="22"/>
        </w:rPr>
        <w:tab/>
      </w:r>
    </w:p>
    <w:p w:rsidRPr="00FA4733" w:rsidR="005A188B" w:rsidP="00FA4733" w:rsidRDefault="005B62B9" w14:paraId="7522B34A" w14:textId="32EF31E6">
      <w:pPr>
        <w:pStyle w:val="Default"/>
        <w:numPr>
          <w:ilvl w:val="0"/>
          <w:numId w:val="38"/>
        </w:numPr>
        <w:ind w:left="0" w:right="-806" w:hanging="284"/>
        <w:rPr>
          <w:b/>
          <w:color w:val="auto"/>
        </w:rPr>
      </w:pPr>
      <w:r w:rsidRPr="007000EC">
        <w:rPr>
          <w:color w:val="auto"/>
          <w:sz w:val="22"/>
          <w:szCs w:val="22"/>
        </w:rPr>
        <w:t>Proportion of food safety inspections carried out (Category A-B) – 86% against a target of 100% (KHH10)</w:t>
      </w:r>
      <w:r w:rsidR="00BA7266">
        <w:rPr>
          <w:color w:val="auto"/>
          <w:sz w:val="22"/>
          <w:szCs w:val="22"/>
        </w:rPr>
        <w:t>.</w:t>
      </w:r>
      <w:r w:rsidR="007000EC">
        <w:rPr>
          <w:color w:val="auto"/>
          <w:sz w:val="22"/>
          <w:szCs w:val="22"/>
        </w:rPr>
        <w:t xml:space="preserve"> </w:t>
      </w:r>
      <w:r w:rsidRPr="00BA7266" w:rsidR="007000EC">
        <w:rPr>
          <w:color w:val="auto"/>
          <w:sz w:val="22"/>
          <w:szCs w:val="22"/>
        </w:rPr>
        <w:t>Th</w:t>
      </w:r>
      <w:r w:rsidR="00C331ED">
        <w:rPr>
          <w:color w:val="auto"/>
          <w:sz w:val="22"/>
          <w:szCs w:val="22"/>
        </w:rPr>
        <w:t xml:space="preserve">ere was </w:t>
      </w:r>
      <w:r w:rsidRPr="00BA7266" w:rsidR="007000EC">
        <w:rPr>
          <w:color w:val="auto"/>
          <w:sz w:val="22"/>
          <w:szCs w:val="22"/>
        </w:rPr>
        <w:t>just one missed inspection</w:t>
      </w:r>
      <w:r w:rsidR="00C331ED">
        <w:rPr>
          <w:color w:val="auto"/>
          <w:sz w:val="22"/>
          <w:szCs w:val="22"/>
        </w:rPr>
        <w:t xml:space="preserve"> in Q4</w:t>
      </w:r>
      <w:r w:rsidRPr="00BA7266" w:rsidR="007000EC">
        <w:rPr>
          <w:color w:val="auto"/>
          <w:sz w:val="22"/>
          <w:szCs w:val="22"/>
        </w:rPr>
        <w:t>, this was undertaken during April 2019.</w:t>
      </w:r>
      <w:r w:rsidR="007000EC">
        <w:rPr>
          <w:color w:val="auto"/>
          <w:sz w:val="22"/>
          <w:szCs w:val="22"/>
        </w:rPr>
        <w:t xml:space="preserve">  </w:t>
      </w:r>
      <w:r w:rsidRPr="00FA4733" w:rsidR="005A188B">
        <w:rPr>
          <w:b/>
          <w:color w:val="4472C4" w:themeColor="accent5"/>
        </w:rPr>
        <w:br w:type="page"/>
      </w:r>
    </w:p>
    <w:p w:rsidRPr="00C564E3" w:rsidR="0029326B" w:rsidP="009C67F5" w:rsidRDefault="0029326B" w14:paraId="789549BF" w14:textId="0C996E22">
      <w:pPr>
        <w:spacing w:after="80" w:line="240" w:lineRule="auto"/>
        <w:ind w:left="-357" w:right="-805"/>
        <w:rPr>
          <w:rFonts w:ascii="Arial" w:hAnsi="Arial" w:cs="Arial"/>
          <w:b/>
          <w:color w:val="4472C4" w:themeColor="accent5"/>
          <w:sz w:val="44"/>
        </w:rPr>
      </w:pPr>
      <w:r w:rsidRPr="00C564E3">
        <w:rPr>
          <w:rFonts w:ascii="Arial" w:hAnsi="Arial" w:cs="Arial"/>
          <w:b/>
          <w:color w:val="4472C4" w:themeColor="accent5"/>
          <w:sz w:val="44"/>
        </w:rPr>
        <w:lastRenderedPageBreak/>
        <w:t>Creating a sustainable business summary</w:t>
      </w:r>
    </w:p>
    <w:p w:rsidRPr="00FE6643" w:rsidR="007D3C37" w:rsidP="0029326B" w:rsidRDefault="0029326B" w14:paraId="2AC52155" w14:textId="359E942F">
      <w:pPr>
        <w:spacing w:after="0" w:line="240" w:lineRule="auto"/>
        <w:ind w:left="-360" w:right="-806"/>
        <w:rPr>
          <w:rFonts w:ascii="Segoe Print" w:hAnsi="Segoe Print" w:cs="Arial"/>
          <w:szCs w:val="24"/>
        </w:rPr>
      </w:pPr>
      <w:r w:rsidRPr="00FE6643">
        <w:rPr>
          <w:rFonts w:ascii="Segoe Print" w:hAnsi="Segoe Print" w:eastAsia="Arial Unicode MS" w:cs="Arial"/>
          <w:color w:val="1F4E79" w:themeColor="accent1" w:themeShade="80"/>
          <w:sz w:val="24"/>
        </w:rPr>
        <w:t xml:space="preserve">We aim </w:t>
      </w:r>
      <w:r w:rsidR="00970066">
        <w:rPr>
          <w:rFonts w:ascii="Segoe Print" w:hAnsi="Segoe Print" w:eastAsia="Arial Unicode MS" w:cs="Arial"/>
          <w:color w:val="1F4E79" w:themeColor="accent1" w:themeShade="80"/>
          <w:sz w:val="24"/>
        </w:rPr>
        <w:t xml:space="preserve">to </w:t>
      </w:r>
      <w:r w:rsidRPr="00FE6643">
        <w:rPr>
          <w:rFonts w:ascii="Segoe Print" w:hAnsi="Segoe Print" w:eastAsia="Arial Unicode MS" w:cs="Arial"/>
          <w:color w:val="1F4E79" w:themeColor="accent1" w:themeShade="80"/>
          <w:sz w:val="24"/>
        </w:rPr>
        <w:t>develop a commercially focused organization committed to delivering high quality, sustainable services to the people, communities and businesses of Allerdale</w:t>
      </w:r>
    </w:p>
    <w:p w:rsidRPr="00FE6643" w:rsidR="00D54A76" w:rsidP="00D54A76" w:rsidRDefault="00D54A76" w14:paraId="4FAA6BB5" w14:textId="77777777">
      <w:pPr>
        <w:spacing w:after="0" w:line="240" w:lineRule="auto"/>
        <w:ind w:left="-360" w:right="-806"/>
        <w:rPr>
          <w:rFonts w:ascii="Arial" w:hAnsi="Arial" w:cs="Arial"/>
          <w:sz w:val="32"/>
          <w:szCs w:val="24"/>
        </w:rPr>
      </w:pPr>
    </w:p>
    <w:tbl>
      <w:tblPr>
        <w:tblStyle w:val="TableGrid"/>
        <w:tblW w:w="9994" w:type="dxa"/>
        <w:tblInd w:w="-360" w:type="dxa"/>
        <w:tblLook w:val="04A0" w:firstRow="1" w:lastRow="0" w:firstColumn="1" w:lastColumn="0" w:noHBand="0" w:noVBand="1"/>
      </w:tblPr>
      <w:tblGrid>
        <w:gridCol w:w="3899"/>
        <w:gridCol w:w="992"/>
        <w:gridCol w:w="993"/>
        <w:gridCol w:w="992"/>
        <w:gridCol w:w="992"/>
        <w:gridCol w:w="992"/>
        <w:gridCol w:w="1134"/>
      </w:tblGrid>
      <w:tr w:rsidRPr="00B80396" w:rsidR="00555156" w:rsidTr="00F54845" w14:paraId="57C1CA46" w14:textId="34D610F0">
        <w:tc>
          <w:tcPr>
            <w:tcW w:w="3899" w:type="dxa"/>
          </w:tcPr>
          <w:p w:rsidRPr="00555156" w:rsidR="00555156" w:rsidP="008B6466" w:rsidRDefault="00555156" w14:paraId="57F2E5C7" w14:textId="2D2359A2">
            <w:pPr>
              <w:ind w:right="-33"/>
              <w:rPr>
                <w:rFonts w:ascii="Arial" w:hAnsi="Arial" w:cs="Arial"/>
                <w:b/>
              </w:rPr>
            </w:pPr>
            <w:r w:rsidRPr="00555156">
              <w:rPr>
                <w:rFonts w:ascii="Arial" w:hAnsi="Arial" w:cs="Arial"/>
                <w:b/>
              </w:rPr>
              <w:t xml:space="preserve">Summary of Quarter </w:t>
            </w:r>
            <w:r w:rsidR="008B6466">
              <w:rPr>
                <w:rFonts w:ascii="Arial" w:hAnsi="Arial" w:cs="Arial"/>
                <w:b/>
              </w:rPr>
              <w:t>4</w:t>
            </w:r>
            <w:r w:rsidRPr="00555156">
              <w:rPr>
                <w:rFonts w:ascii="Arial" w:hAnsi="Arial" w:cs="Arial"/>
                <w:b/>
              </w:rPr>
              <w:t xml:space="preserve"> position</w:t>
            </w:r>
          </w:p>
        </w:tc>
        <w:tc>
          <w:tcPr>
            <w:tcW w:w="992" w:type="dxa"/>
          </w:tcPr>
          <w:p w:rsidRPr="00555156" w:rsidR="00555156" w:rsidP="00555156" w:rsidRDefault="00555156" w14:paraId="1C65FA22" w14:textId="77777777">
            <w:pPr>
              <w:ind w:right="-18"/>
              <w:jc w:val="center"/>
              <w:rPr>
                <w:rFonts w:ascii="Arial" w:hAnsi="Arial" w:cs="Arial"/>
                <w:b/>
              </w:rPr>
            </w:pPr>
            <w:r w:rsidRPr="00555156">
              <w:rPr>
                <w:rFonts w:ascii="Arial" w:hAnsi="Arial" w:cs="Arial"/>
                <w:b/>
              </w:rPr>
              <w:t>Total</w:t>
            </w:r>
          </w:p>
        </w:tc>
        <w:tc>
          <w:tcPr>
            <w:tcW w:w="993" w:type="dxa"/>
            <w:shd w:val="clear" w:color="auto" w:fill="C00000"/>
          </w:tcPr>
          <w:p w:rsidRPr="00555156" w:rsidR="00555156" w:rsidP="00555156" w:rsidRDefault="00555156" w14:paraId="0F39A0FA" w14:textId="77777777">
            <w:pPr>
              <w:ind w:right="-18"/>
              <w:jc w:val="center"/>
              <w:rPr>
                <w:rFonts w:ascii="Arial" w:hAnsi="Arial" w:cs="Arial"/>
                <w:b/>
              </w:rPr>
            </w:pPr>
            <w:r w:rsidRPr="00555156">
              <w:rPr>
                <w:rFonts w:ascii="Arial" w:hAnsi="Arial" w:cs="Arial"/>
                <w:b/>
                <w:color w:val="000000" w:themeColor="text1"/>
              </w:rPr>
              <w:t>Red</w:t>
            </w:r>
          </w:p>
        </w:tc>
        <w:tc>
          <w:tcPr>
            <w:tcW w:w="992" w:type="dxa"/>
            <w:shd w:val="clear" w:color="auto" w:fill="FFC000"/>
          </w:tcPr>
          <w:p w:rsidRPr="00555156" w:rsidR="00555156" w:rsidP="00555156" w:rsidRDefault="00555156" w14:paraId="30E15A42" w14:textId="77777777">
            <w:pPr>
              <w:jc w:val="center"/>
              <w:rPr>
                <w:rFonts w:ascii="Arial" w:hAnsi="Arial" w:cs="Arial"/>
                <w:b/>
              </w:rPr>
            </w:pPr>
            <w:r w:rsidRPr="00555156">
              <w:rPr>
                <w:rFonts w:ascii="Arial" w:hAnsi="Arial" w:cs="Arial"/>
                <w:b/>
              </w:rPr>
              <w:t>Amber</w:t>
            </w:r>
          </w:p>
        </w:tc>
        <w:tc>
          <w:tcPr>
            <w:tcW w:w="992" w:type="dxa"/>
            <w:shd w:val="clear" w:color="auto" w:fill="00B050"/>
          </w:tcPr>
          <w:p w:rsidRPr="00555156" w:rsidR="00555156" w:rsidP="00555156" w:rsidRDefault="00555156" w14:paraId="50505BBC" w14:textId="77777777">
            <w:pPr>
              <w:ind w:right="-18"/>
              <w:jc w:val="center"/>
              <w:rPr>
                <w:rFonts w:ascii="Arial" w:hAnsi="Arial" w:cs="Arial"/>
                <w:b/>
              </w:rPr>
            </w:pPr>
            <w:r w:rsidRPr="00555156">
              <w:rPr>
                <w:rFonts w:ascii="Arial" w:hAnsi="Arial" w:cs="Arial"/>
                <w:b/>
              </w:rPr>
              <w:t>Green</w:t>
            </w:r>
          </w:p>
        </w:tc>
        <w:tc>
          <w:tcPr>
            <w:tcW w:w="992" w:type="dxa"/>
            <w:shd w:val="clear" w:color="auto" w:fill="0070C0"/>
          </w:tcPr>
          <w:p w:rsidRPr="00555156" w:rsidR="00555156" w:rsidP="00555156" w:rsidRDefault="00555156" w14:paraId="35DC1942" w14:textId="77777777">
            <w:pPr>
              <w:ind w:right="-18"/>
              <w:jc w:val="center"/>
              <w:rPr>
                <w:rFonts w:ascii="Arial" w:hAnsi="Arial" w:cs="Arial"/>
                <w:b/>
              </w:rPr>
            </w:pPr>
            <w:r w:rsidRPr="00555156">
              <w:rPr>
                <w:rFonts w:ascii="Arial" w:hAnsi="Arial" w:cs="Arial"/>
                <w:b/>
              </w:rPr>
              <w:t>Blue</w:t>
            </w:r>
          </w:p>
        </w:tc>
        <w:tc>
          <w:tcPr>
            <w:tcW w:w="1134" w:type="dxa"/>
            <w:shd w:val="clear" w:color="auto" w:fill="A6A6A6" w:themeFill="background1" w:themeFillShade="A6"/>
          </w:tcPr>
          <w:p w:rsidRPr="00555156" w:rsidR="00555156" w:rsidP="00555156" w:rsidRDefault="00555156" w14:paraId="135490C5" w14:textId="0A20DCA2">
            <w:pPr>
              <w:ind w:right="-18"/>
              <w:jc w:val="center"/>
              <w:rPr>
                <w:rFonts w:ascii="Arial" w:hAnsi="Arial" w:cs="Arial"/>
                <w:b/>
              </w:rPr>
            </w:pPr>
            <w:r w:rsidRPr="00555156">
              <w:rPr>
                <w:rFonts w:ascii="Arial" w:hAnsi="Arial" w:cs="Arial"/>
                <w:b/>
              </w:rPr>
              <w:t>Not targeted</w:t>
            </w:r>
          </w:p>
        </w:tc>
      </w:tr>
      <w:tr w:rsidR="00555156" w:rsidTr="00F54845" w14:paraId="5169F651" w14:textId="15B6DCBD">
        <w:tc>
          <w:tcPr>
            <w:tcW w:w="3899" w:type="dxa"/>
          </w:tcPr>
          <w:p w:rsidRPr="00555156" w:rsidR="00555156" w:rsidP="00555156" w:rsidRDefault="00555156" w14:paraId="4079BC57" w14:textId="77777777">
            <w:pPr>
              <w:ind w:right="-18"/>
              <w:rPr>
                <w:rFonts w:ascii="Arial" w:hAnsi="Arial" w:cs="Arial"/>
              </w:rPr>
            </w:pPr>
            <w:r w:rsidRPr="00555156">
              <w:rPr>
                <w:rFonts w:ascii="Arial" w:hAnsi="Arial" w:cs="Arial"/>
              </w:rPr>
              <w:t>Projects/activities</w:t>
            </w:r>
          </w:p>
        </w:tc>
        <w:tc>
          <w:tcPr>
            <w:tcW w:w="992" w:type="dxa"/>
          </w:tcPr>
          <w:p w:rsidRPr="00EB2C1B" w:rsidR="00555156" w:rsidP="0061203F" w:rsidRDefault="00F75EEF" w14:paraId="193B3870" w14:textId="6C2BC9A1">
            <w:pPr>
              <w:jc w:val="center"/>
              <w:rPr>
                <w:rFonts w:ascii="Arial" w:hAnsi="Arial" w:cs="Arial"/>
                <w:color w:val="000000" w:themeColor="text1"/>
                <w:highlight w:val="yellow"/>
              </w:rPr>
            </w:pPr>
            <w:r w:rsidRPr="00785F35">
              <w:rPr>
                <w:rFonts w:ascii="Arial" w:hAnsi="Arial" w:cs="Arial"/>
                <w:color w:val="000000" w:themeColor="text1"/>
              </w:rPr>
              <w:t>20</w:t>
            </w:r>
          </w:p>
        </w:tc>
        <w:tc>
          <w:tcPr>
            <w:tcW w:w="993" w:type="dxa"/>
            <w:shd w:val="clear" w:color="auto" w:fill="C00000"/>
          </w:tcPr>
          <w:p w:rsidRPr="000376A1" w:rsidR="00555156" w:rsidP="00555156" w:rsidRDefault="00785F35" w14:paraId="0FF0EA92" w14:textId="08466CDB">
            <w:pPr>
              <w:ind w:right="-18"/>
              <w:jc w:val="center"/>
              <w:rPr>
                <w:rFonts w:ascii="Arial" w:hAnsi="Arial" w:cs="Arial"/>
              </w:rPr>
            </w:pPr>
            <w:r>
              <w:rPr>
                <w:rFonts w:ascii="Arial" w:hAnsi="Arial" w:cs="Arial"/>
              </w:rPr>
              <w:t>3</w:t>
            </w:r>
          </w:p>
        </w:tc>
        <w:tc>
          <w:tcPr>
            <w:tcW w:w="992" w:type="dxa"/>
            <w:shd w:val="clear" w:color="auto" w:fill="FFC000"/>
          </w:tcPr>
          <w:p w:rsidRPr="000376A1" w:rsidR="00555156" w:rsidP="0061203F" w:rsidRDefault="00785F35" w14:paraId="28639A43" w14:textId="61A1B58A">
            <w:pPr>
              <w:ind w:right="-44"/>
              <w:jc w:val="center"/>
              <w:rPr>
                <w:rFonts w:ascii="Arial" w:hAnsi="Arial" w:cs="Arial"/>
              </w:rPr>
            </w:pPr>
            <w:r>
              <w:rPr>
                <w:rFonts w:ascii="Arial" w:hAnsi="Arial" w:cs="Arial"/>
              </w:rPr>
              <w:t>3</w:t>
            </w:r>
          </w:p>
        </w:tc>
        <w:tc>
          <w:tcPr>
            <w:tcW w:w="992" w:type="dxa"/>
            <w:shd w:val="clear" w:color="auto" w:fill="00B050"/>
          </w:tcPr>
          <w:p w:rsidRPr="000376A1" w:rsidR="00555156" w:rsidP="00555156" w:rsidRDefault="00FF4138" w14:paraId="1021D129" w14:textId="5D9A4BD3">
            <w:pPr>
              <w:ind w:right="-18"/>
              <w:jc w:val="center"/>
              <w:rPr>
                <w:rFonts w:ascii="Arial" w:hAnsi="Arial" w:cs="Arial"/>
              </w:rPr>
            </w:pPr>
            <w:r>
              <w:rPr>
                <w:rFonts w:ascii="Arial" w:hAnsi="Arial" w:cs="Arial"/>
              </w:rPr>
              <w:t>7</w:t>
            </w:r>
          </w:p>
        </w:tc>
        <w:tc>
          <w:tcPr>
            <w:tcW w:w="992" w:type="dxa"/>
            <w:shd w:val="clear" w:color="auto" w:fill="0070C0"/>
          </w:tcPr>
          <w:p w:rsidRPr="000376A1" w:rsidR="00555156" w:rsidP="00555156" w:rsidRDefault="00FF4138" w14:paraId="7C61DD0B" w14:textId="22E2DD53">
            <w:pPr>
              <w:ind w:right="-18"/>
              <w:jc w:val="center"/>
              <w:rPr>
                <w:rFonts w:ascii="Arial" w:hAnsi="Arial" w:cs="Arial"/>
              </w:rPr>
            </w:pPr>
            <w:r>
              <w:rPr>
                <w:rFonts w:ascii="Arial" w:hAnsi="Arial" w:cs="Arial"/>
              </w:rPr>
              <w:t>7</w:t>
            </w:r>
          </w:p>
        </w:tc>
        <w:tc>
          <w:tcPr>
            <w:tcW w:w="1134" w:type="dxa"/>
            <w:shd w:val="clear" w:color="auto" w:fill="A6A6A6" w:themeFill="background1" w:themeFillShade="A6"/>
          </w:tcPr>
          <w:p w:rsidRPr="00A71044" w:rsidR="00555156" w:rsidP="00555156" w:rsidRDefault="00555156" w14:paraId="233F0758" w14:textId="29BCEF2C">
            <w:pPr>
              <w:ind w:right="-18"/>
              <w:jc w:val="center"/>
              <w:rPr>
                <w:rFonts w:ascii="Arial" w:hAnsi="Arial" w:cs="Arial"/>
              </w:rPr>
            </w:pPr>
            <w:r w:rsidRPr="00A71044">
              <w:rPr>
                <w:rFonts w:ascii="Arial" w:hAnsi="Arial" w:cs="Arial"/>
              </w:rPr>
              <w:t>-</w:t>
            </w:r>
          </w:p>
        </w:tc>
      </w:tr>
      <w:tr w:rsidR="00597C44" w:rsidTr="00F54845" w14:paraId="4DEF158A" w14:textId="0FC8F7AB">
        <w:tc>
          <w:tcPr>
            <w:tcW w:w="3899" w:type="dxa"/>
          </w:tcPr>
          <w:p w:rsidRPr="00555156" w:rsidR="00597C44" w:rsidP="00597C44" w:rsidRDefault="00597C44" w14:paraId="691B5D10" w14:textId="73477684">
            <w:pPr>
              <w:ind w:right="-18"/>
              <w:rPr>
                <w:rFonts w:ascii="Arial" w:hAnsi="Arial" w:cs="Arial"/>
              </w:rPr>
            </w:pPr>
            <w:r w:rsidRPr="00555156">
              <w:rPr>
                <w:rFonts w:ascii="Arial" w:hAnsi="Arial" w:cs="Arial"/>
              </w:rPr>
              <w:t>KPIs</w:t>
            </w:r>
            <w:r>
              <w:rPr>
                <w:rFonts w:ascii="Arial" w:hAnsi="Arial" w:cs="Arial"/>
              </w:rPr>
              <w:t xml:space="preserve"> (Q4 value)</w:t>
            </w:r>
          </w:p>
        </w:tc>
        <w:tc>
          <w:tcPr>
            <w:tcW w:w="992" w:type="dxa"/>
          </w:tcPr>
          <w:p w:rsidRPr="00EA7F88" w:rsidR="00597C44" w:rsidP="00597C44" w:rsidRDefault="00545ADC" w14:paraId="59CE0E45" w14:textId="64146183">
            <w:pPr>
              <w:jc w:val="center"/>
              <w:rPr>
                <w:rFonts w:ascii="Arial" w:hAnsi="Arial" w:cs="Arial"/>
                <w:color w:val="000000" w:themeColor="text1"/>
              </w:rPr>
            </w:pPr>
            <w:r w:rsidRPr="00EA7F88">
              <w:rPr>
                <w:rFonts w:ascii="Arial" w:hAnsi="Arial" w:cs="Arial"/>
                <w:color w:val="000000" w:themeColor="text1"/>
              </w:rPr>
              <w:t>2</w:t>
            </w:r>
            <w:r w:rsidRPr="00EA7F88" w:rsidR="00F75EEF">
              <w:rPr>
                <w:rFonts w:ascii="Arial" w:hAnsi="Arial" w:cs="Arial"/>
                <w:color w:val="000000" w:themeColor="text1"/>
              </w:rPr>
              <w:t>0</w:t>
            </w:r>
          </w:p>
        </w:tc>
        <w:tc>
          <w:tcPr>
            <w:tcW w:w="993" w:type="dxa"/>
            <w:shd w:val="clear" w:color="auto" w:fill="C00000"/>
          </w:tcPr>
          <w:p w:rsidRPr="00303CD6" w:rsidR="00597C44" w:rsidP="00597C44" w:rsidRDefault="00545ADC" w14:paraId="510656A4" w14:textId="37D1D021">
            <w:pPr>
              <w:ind w:right="-18"/>
              <w:jc w:val="center"/>
              <w:rPr>
                <w:rFonts w:ascii="Arial" w:hAnsi="Arial" w:cs="Arial"/>
              </w:rPr>
            </w:pPr>
            <w:r w:rsidRPr="00303CD6">
              <w:rPr>
                <w:rFonts w:ascii="Arial" w:hAnsi="Arial" w:cs="Arial"/>
              </w:rPr>
              <w:t>3</w:t>
            </w:r>
          </w:p>
        </w:tc>
        <w:tc>
          <w:tcPr>
            <w:tcW w:w="992" w:type="dxa"/>
            <w:shd w:val="clear" w:color="auto" w:fill="FFC000"/>
          </w:tcPr>
          <w:p w:rsidRPr="00EA7F88" w:rsidR="00597C44" w:rsidP="00597C44" w:rsidRDefault="00970066" w14:paraId="7B36A8CB" w14:textId="026418AF">
            <w:pPr>
              <w:ind w:right="-44"/>
              <w:jc w:val="center"/>
              <w:rPr>
                <w:rFonts w:ascii="Arial" w:hAnsi="Arial" w:cs="Arial"/>
              </w:rPr>
            </w:pPr>
            <w:r>
              <w:rPr>
                <w:rFonts w:ascii="Arial" w:hAnsi="Arial" w:cs="Arial"/>
              </w:rPr>
              <w:t>2</w:t>
            </w:r>
            <w:r w:rsidR="00A03AAE">
              <w:rPr>
                <w:rFonts w:ascii="Arial" w:hAnsi="Arial" w:cs="Arial"/>
              </w:rPr>
              <w:t>*</w:t>
            </w:r>
          </w:p>
        </w:tc>
        <w:tc>
          <w:tcPr>
            <w:tcW w:w="992" w:type="dxa"/>
            <w:shd w:val="clear" w:color="auto" w:fill="00B050"/>
          </w:tcPr>
          <w:p w:rsidRPr="00EA7F88" w:rsidR="00597C44" w:rsidP="00597C44" w:rsidRDefault="00545ADC" w14:paraId="7AF65E11" w14:textId="01CF87A1">
            <w:pPr>
              <w:ind w:right="-18"/>
              <w:jc w:val="center"/>
              <w:rPr>
                <w:rFonts w:ascii="Arial" w:hAnsi="Arial" w:cs="Arial"/>
              </w:rPr>
            </w:pPr>
            <w:r w:rsidRPr="00EA7F88">
              <w:rPr>
                <w:rFonts w:ascii="Arial" w:hAnsi="Arial" w:cs="Arial"/>
              </w:rPr>
              <w:t>11</w:t>
            </w:r>
          </w:p>
        </w:tc>
        <w:tc>
          <w:tcPr>
            <w:tcW w:w="992" w:type="dxa"/>
            <w:shd w:val="clear" w:color="auto" w:fill="0070C0"/>
          </w:tcPr>
          <w:p w:rsidRPr="00EA7F88" w:rsidR="00597C44" w:rsidP="00597C44" w:rsidRDefault="00597C44" w14:paraId="5883A8C9" w14:textId="765E7D32">
            <w:pPr>
              <w:ind w:right="-18"/>
              <w:jc w:val="center"/>
              <w:rPr>
                <w:rFonts w:ascii="Arial" w:hAnsi="Arial" w:cs="Arial"/>
              </w:rPr>
            </w:pPr>
            <w:r w:rsidRPr="00EA7F88">
              <w:rPr>
                <w:rFonts w:ascii="Arial" w:hAnsi="Arial" w:cs="Arial"/>
              </w:rPr>
              <w:t>-</w:t>
            </w:r>
          </w:p>
        </w:tc>
        <w:tc>
          <w:tcPr>
            <w:tcW w:w="1134" w:type="dxa"/>
            <w:shd w:val="clear" w:color="auto" w:fill="A6A6A6" w:themeFill="background1" w:themeFillShade="A6"/>
          </w:tcPr>
          <w:p w:rsidRPr="00EA7F88" w:rsidR="00597C44" w:rsidP="00597C44" w:rsidRDefault="00545ADC" w14:paraId="2BD227B3" w14:textId="7386CDD5">
            <w:pPr>
              <w:ind w:right="-18"/>
              <w:jc w:val="center"/>
              <w:rPr>
                <w:rFonts w:ascii="Arial" w:hAnsi="Arial" w:cs="Arial"/>
              </w:rPr>
            </w:pPr>
            <w:r w:rsidRPr="00EA7F88">
              <w:rPr>
                <w:rFonts w:ascii="Arial" w:hAnsi="Arial" w:cs="Arial"/>
              </w:rPr>
              <w:t>2</w:t>
            </w:r>
          </w:p>
        </w:tc>
      </w:tr>
      <w:tr w:rsidR="00597C44" w:rsidTr="00F54845" w14:paraId="1EED9B43" w14:textId="77777777">
        <w:tc>
          <w:tcPr>
            <w:tcW w:w="3899" w:type="dxa"/>
          </w:tcPr>
          <w:p w:rsidRPr="00555156" w:rsidR="00597C44" w:rsidP="00EB2C1B" w:rsidRDefault="00597C44" w14:paraId="3A0B744E" w14:textId="7A2C4367">
            <w:pPr>
              <w:ind w:right="-18"/>
              <w:rPr>
                <w:rFonts w:ascii="Arial" w:hAnsi="Arial" w:cs="Arial"/>
              </w:rPr>
            </w:pPr>
            <w:r>
              <w:rPr>
                <w:rFonts w:ascii="Arial" w:hAnsi="Arial" w:cs="Arial"/>
              </w:rPr>
              <w:t>KPIs (</w:t>
            </w:r>
            <w:r w:rsidR="00EB2C1B">
              <w:rPr>
                <w:rFonts w:ascii="Arial" w:hAnsi="Arial" w:cs="Arial"/>
              </w:rPr>
              <w:t>2018/19</w:t>
            </w:r>
            <w:r>
              <w:rPr>
                <w:rFonts w:ascii="Arial" w:hAnsi="Arial" w:cs="Arial"/>
              </w:rPr>
              <w:t xml:space="preserve"> annual value)</w:t>
            </w:r>
          </w:p>
        </w:tc>
        <w:tc>
          <w:tcPr>
            <w:tcW w:w="992" w:type="dxa"/>
          </w:tcPr>
          <w:p w:rsidRPr="00EA7F88" w:rsidR="00597C44" w:rsidP="00597C44" w:rsidRDefault="00545ADC" w14:paraId="6479AE79" w14:textId="4E55F641">
            <w:pPr>
              <w:jc w:val="center"/>
              <w:rPr>
                <w:rFonts w:ascii="Arial" w:hAnsi="Arial" w:cs="Arial"/>
                <w:color w:val="000000" w:themeColor="text1"/>
              </w:rPr>
            </w:pPr>
            <w:r w:rsidRPr="00EA7F88">
              <w:rPr>
                <w:rFonts w:ascii="Arial" w:hAnsi="Arial" w:cs="Arial"/>
                <w:color w:val="000000" w:themeColor="text1"/>
              </w:rPr>
              <w:t>2</w:t>
            </w:r>
            <w:r w:rsidRPr="00EA7F88" w:rsidR="00F75EEF">
              <w:rPr>
                <w:rFonts w:ascii="Arial" w:hAnsi="Arial" w:cs="Arial"/>
                <w:color w:val="000000" w:themeColor="text1"/>
              </w:rPr>
              <w:t>0</w:t>
            </w:r>
          </w:p>
        </w:tc>
        <w:tc>
          <w:tcPr>
            <w:tcW w:w="993" w:type="dxa"/>
            <w:shd w:val="clear" w:color="auto" w:fill="C00000"/>
          </w:tcPr>
          <w:p w:rsidRPr="00303CD6" w:rsidR="00597C44" w:rsidP="00597C44" w:rsidRDefault="00970066" w14:paraId="2B274581" w14:textId="49F5ACA4">
            <w:pPr>
              <w:ind w:right="-18"/>
              <w:jc w:val="center"/>
              <w:rPr>
                <w:rFonts w:ascii="Arial" w:hAnsi="Arial" w:cs="Arial"/>
              </w:rPr>
            </w:pPr>
            <w:r>
              <w:rPr>
                <w:rFonts w:ascii="Arial" w:hAnsi="Arial" w:cs="Arial"/>
              </w:rPr>
              <w:t>2</w:t>
            </w:r>
            <w:r w:rsidR="00A03AAE">
              <w:rPr>
                <w:rFonts w:ascii="Arial" w:hAnsi="Arial" w:cs="Arial"/>
              </w:rPr>
              <w:t>*</w:t>
            </w:r>
          </w:p>
        </w:tc>
        <w:tc>
          <w:tcPr>
            <w:tcW w:w="992" w:type="dxa"/>
            <w:shd w:val="clear" w:color="auto" w:fill="FFC000"/>
          </w:tcPr>
          <w:p w:rsidRPr="00EA7F88" w:rsidR="00597C44" w:rsidP="00597C44" w:rsidRDefault="00EA7F88" w14:paraId="1CA22EC5" w14:textId="5537D689">
            <w:pPr>
              <w:ind w:right="-44"/>
              <w:jc w:val="center"/>
              <w:rPr>
                <w:rFonts w:ascii="Arial" w:hAnsi="Arial" w:cs="Arial"/>
              </w:rPr>
            </w:pPr>
            <w:r>
              <w:rPr>
                <w:rFonts w:ascii="Arial" w:hAnsi="Arial" w:cs="Arial"/>
              </w:rPr>
              <w:t>4</w:t>
            </w:r>
          </w:p>
        </w:tc>
        <w:tc>
          <w:tcPr>
            <w:tcW w:w="992" w:type="dxa"/>
            <w:shd w:val="clear" w:color="auto" w:fill="00B050"/>
          </w:tcPr>
          <w:p w:rsidRPr="00EA7F88" w:rsidR="00597C44" w:rsidP="00597C44" w:rsidRDefault="00545ADC" w14:paraId="14E90B4B" w14:textId="4CF05F3E">
            <w:pPr>
              <w:ind w:right="-18"/>
              <w:jc w:val="center"/>
              <w:rPr>
                <w:rFonts w:ascii="Arial" w:hAnsi="Arial" w:cs="Arial"/>
              </w:rPr>
            </w:pPr>
            <w:r w:rsidRPr="00EA7F88">
              <w:rPr>
                <w:rFonts w:ascii="Arial" w:hAnsi="Arial" w:cs="Arial"/>
              </w:rPr>
              <w:t>10</w:t>
            </w:r>
          </w:p>
        </w:tc>
        <w:tc>
          <w:tcPr>
            <w:tcW w:w="992" w:type="dxa"/>
            <w:shd w:val="clear" w:color="auto" w:fill="0070C0"/>
          </w:tcPr>
          <w:p w:rsidRPr="00EA7F88" w:rsidR="00597C44" w:rsidP="00597C44" w:rsidRDefault="00597C44" w14:paraId="4B62F9E9" w14:textId="071A91F4">
            <w:pPr>
              <w:ind w:right="-18"/>
              <w:jc w:val="center"/>
              <w:rPr>
                <w:rFonts w:ascii="Arial" w:hAnsi="Arial" w:cs="Arial"/>
              </w:rPr>
            </w:pPr>
            <w:r w:rsidRPr="00EA7F88">
              <w:rPr>
                <w:rFonts w:ascii="Arial" w:hAnsi="Arial" w:cs="Arial"/>
              </w:rPr>
              <w:t>-</w:t>
            </w:r>
          </w:p>
        </w:tc>
        <w:tc>
          <w:tcPr>
            <w:tcW w:w="1134" w:type="dxa"/>
            <w:shd w:val="clear" w:color="auto" w:fill="A6A6A6" w:themeFill="background1" w:themeFillShade="A6"/>
          </w:tcPr>
          <w:p w:rsidRPr="00EA7F88" w:rsidR="00597C44" w:rsidP="00597C44" w:rsidRDefault="00545ADC" w14:paraId="2F1A4C4B" w14:textId="6B1B068F">
            <w:pPr>
              <w:ind w:right="-18"/>
              <w:jc w:val="center"/>
              <w:rPr>
                <w:rFonts w:ascii="Arial" w:hAnsi="Arial" w:cs="Arial"/>
              </w:rPr>
            </w:pPr>
            <w:r w:rsidRPr="00EA7F88">
              <w:rPr>
                <w:rFonts w:ascii="Arial" w:hAnsi="Arial" w:cs="Arial"/>
              </w:rPr>
              <w:t>2</w:t>
            </w:r>
          </w:p>
        </w:tc>
      </w:tr>
    </w:tbl>
    <w:p w:rsidR="00EA7F88" w:rsidP="00EA7F88" w:rsidRDefault="00970066" w14:paraId="542B0B6A" w14:textId="709DCFDD">
      <w:pPr>
        <w:spacing w:after="0" w:line="240" w:lineRule="auto"/>
        <w:ind w:left="-360" w:right="-810"/>
        <w:rPr>
          <w:rStyle w:val="eop"/>
          <w:rFonts w:ascii="Arial" w:hAnsi="Arial" w:cs="Arial"/>
          <w:color w:val="000000"/>
          <w:sz w:val="20"/>
          <w:shd w:val="clear" w:color="auto" w:fill="FFFFFF"/>
        </w:rPr>
      </w:pPr>
      <w:r w:rsidRPr="00970066">
        <w:rPr>
          <w:rStyle w:val="normaltextrun"/>
          <w:rFonts w:ascii="Arial" w:hAnsi="Arial" w:cs="Arial"/>
          <w:color w:val="000000"/>
          <w:sz w:val="20"/>
          <w:szCs w:val="20"/>
          <w:shd w:val="clear" w:color="auto" w:fill="FFFFFF"/>
        </w:rPr>
        <w:t>* We are awaiting data to be able to calculate Q4 figures</w:t>
      </w:r>
      <w:r w:rsidR="00C331ED">
        <w:rPr>
          <w:rStyle w:val="normaltextrun"/>
          <w:rFonts w:ascii="Arial" w:hAnsi="Arial" w:cs="Arial"/>
          <w:color w:val="000000"/>
          <w:sz w:val="20"/>
          <w:szCs w:val="20"/>
          <w:shd w:val="clear" w:color="auto" w:fill="FFFFFF"/>
        </w:rPr>
        <w:t xml:space="preserve"> and annual figures for the waste </w:t>
      </w:r>
      <w:r w:rsidRPr="00970066">
        <w:rPr>
          <w:rStyle w:val="normaltextrun"/>
          <w:rFonts w:ascii="Arial" w:hAnsi="Arial" w:cs="Arial"/>
          <w:color w:val="000000"/>
          <w:sz w:val="20"/>
          <w:szCs w:val="20"/>
          <w:shd w:val="clear" w:color="auto" w:fill="FFFFFF"/>
        </w:rPr>
        <w:t>KPIs </w:t>
      </w:r>
    </w:p>
    <w:p w:rsidR="00D54A76" w:rsidP="007D3C37" w:rsidRDefault="00D54A76" w14:paraId="281E97DD" w14:textId="77777777">
      <w:pPr>
        <w:spacing w:after="0" w:line="240" w:lineRule="auto"/>
        <w:ind w:left="-360" w:right="-806"/>
        <w:rPr>
          <w:rFonts w:ascii="Arial" w:hAnsi="Arial" w:cs="Arial"/>
          <w:sz w:val="24"/>
          <w:szCs w:val="24"/>
        </w:rPr>
      </w:pPr>
    </w:p>
    <w:p w:rsidRPr="00233DBF" w:rsidR="00503568" w:rsidP="00233DBF" w:rsidRDefault="00503568" w14:paraId="700C1162" w14:textId="302748C8">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Projects/activities</w:t>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 xml:space="preserve">(Appendix </w:t>
      </w:r>
      <w:r w:rsidR="008179C9">
        <w:rPr>
          <w:rFonts w:ascii="Arial" w:hAnsi="Arial" w:cs="Arial"/>
          <w:color w:val="000000" w:themeColor="text1"/>
          <w:sz w:val="28"/>
          <w:szCs w:val="24"/>
        </w:rPr>
        <w:t>A</w:t>
      </w:r>
      <w:r w:rsidRPr="008179C9" w:rsidR="008179C9">
        <w:rPr>
          <w:rFonts w:ascii="Arial" w:hAnsi="Arial" w:cs="Arial"/>
          <w:color w:val="000000" w:themeColor="text1"/>
          <w:sz w:val="28"/>
          <w:szCs w:val="24"/>
        </w:rPr>
        <w:t>)</w:t>
      </w:r>
    </w:p>
    <w:p w:rsidR="00176393" w:rsidP="00503568" w:rsidRDefault="00176393" w14:paraId="6C04E8D9" w14:textId="77777777">
      <w:pPr>
        <w:spacing w:after="0" w:line="240" w:lineRule="auto"/>
        <w:ind w:left="-360" w:right="-806"/>
        <w:rPr>
          <w:rFonts w:ascii="Arial" w:hAnsi="Arial" w:cs="Arial"/>
          <w:b/>
          <w:color w:val="0070C0"/>
          <w:sz w:val="24"/>
          <w:szCs w:val="24"/>
        </w:rPr>
      </w:pPr>
    </w:p>
    <w:p w:rsidR="00503568" w:rsidP="00176393" w:rsidRDefault="00176393" w14:paraId="1A03E1AD" w14:textId="405E8467">
      <w:pPr>
        <w:spacing w:after="120" w:line="240" w:lineRule="auto"/>
        <w:ind w:left="-357" w:right="-805"/>
        <w:rPr>
          <w:rFonts w:ascii="Arial" w:hAnsi="Arial" w:cs="Arial"/>
          <w:b/>
          <w:color w:val="0070C0"/>
          <w:sz w:val="24"/>
          <w:szCs w:val="24"/>
        </w:rPr>
      </w:pPr>
      <w:r w:rsidRPr="00F957FE">
        <w:rPr>
          <w:rFonts w:ascii="Arial" w:hAnsi="Arial" w:cs="Arial"/>
          <w:b/>
          <w:color w:val="0070C0"/>
          <w:sz w:val="24"/>
          <w:szCs w:val="24"/>
        </w:rPr>
        <w:t xml:space="preserve">Blue </w:t>
      </w:r>
      <w:r w:rsidR="00654C2D">
        <w:rPr>
          <w:rFonts w:ascii="Arial" w:hAnsi="Arial" w:cs="Arial"/>
          <w:b/>
          <w:color w:val="0070C0"/>
          <w:sz w:val="24"/>
          <w:szCs w:val="24"/>
        </w:rPr>
        <w:t xml:space="preserve">highlights </w:t>
      </w:r>
      <w:r>
        <w:rPr>
          <w:rFonts w:ascii="Arial" w:hAnsi="Arial" w:cs="Arial"/>
          <w:b/>
          <w:color w:val="0070C0"/>
          <w:sz w:val="24"/>
          <w:szCs w:val="24"/>
        </w:rPr>
        <w:t>–</w:t>
      </w:r>
      <w:r w:rsidRPr="00F957FE">
        <w:rPr>
          <w:rFonts w:ascii="Arial" w:hAnsi="Arial" w:cs="Arial"/>
          <w:b/>
          <w:color w:val="0070C0"/>
          <w:sz w:val="24"/>
          <w:szCs w:val="24"/>
        </w:rPr>
        <w:t xml:space="preserve"> completed</w:t>
      </w:r>
      <w:r w:rsidR="00654C2D">
        <w:rPr>
          <w:rFonts w:ascii="Arial" w:hAnsi="Arial" w:cs="Arial"/>
          <w:b/>
          <w:color w:val="0070C0"/>
          <w:sz w:val="24"/>
          <w:szCs w:val="24"/>
        </w:rPr>
        <w:t xml:space="preserve"> this quarter</w:t>
      </w:r>
    </w:p>
    <w:p w:rsidRPr="00FA4733" w:rsidR="00A768FD" w:rsidP="00DE0E50" w:rsidRDefault="00DE0E50" w14:paraId="7ADDDAD3" w14:textId="4367BE48">
      <w:pPr>
        <w:pStyle w:val="ListParagraph"/>
        <w:numPr>
          <w:ilvl w:val="0"/>
          <w:numId w:val="30"/>
        </w:numPr>
        <w:spacing w:before="120" w:after="0" w:line="240" w:lineRule="auto"/>
        <w:ind w:left="0" w:right="-805" w:hanging="284"/>
        <w:contextualSpacing w:val="0"/>
        <w:rPr>
          <w:rFonts w:ascii="Arial" w:hAnsi="Arial" w:cs="Arial"/>
          <w:szCs w:val="24"/>
        </w:rPr>
      </w:pPr>
      <w:r w:rsidRPr="00FA4733">
        <w:rPr>
          <w:rFonts w:ascii="Arial" w:hAnsi="Arial" w:cs="Arial"/>
          <w:szCs w:val="24"/>
        </w:rPr>
        <w:t xml:space="preserve">Additional £80k of trade waste income achieved through the growth of the service. </w:t>
      </w:r>
      <w:r w:rsidRPr="00FA4733" w:rsidR="00A768FD">
        <w:rPr>
          <w:rFonts w:ascii="Arial" w:hAnsi="Arial" w:cs="Arial"/>
          <w:szCs w:val="24"/>
        </w:rPr>
        <w:t>(5.</w:t>
      </w:r>
      <w:r w:rsidRPr="00FA4733">
        <w:rPr>
          <w:rFonts w:ascii="Arial" w:hAnsi="Arial" w:cs="Arial"/>
          <w:szCs w:val="24"/>
        </w:rPr>
        <w:t>8</w:t>
      </w:r>
      <w:r w:rsidRPr="00FA4733" w:rsidR="00A768FD">
        <w:rPr>
          <w:rFonts w:ascii="Arial" w:hAnsi="Arial" w:cs="Arial"/>
          <w:szCs w:val="24"/>
        </w:rPr>
        <w:t>)</w:t>
      </w:r>
    </w:p>
    <w:p w:rsidR="00DE0E50" w:rsidP="00DE0E50" w:rsidRDefault="00DE0E50" w14:paraId="7DFBAF03" w14:textId="41779D0E">
      <w:pPr>
        <w:pStyle w:val="ListParagraph"/>
        <w:numPr>
          <w:ilvl w:val="0"/>
          <w:numId w:val="30"/>
        </w:numPr>
        <w:spacing w:before="120" w:after="0" w:line="240" w:lineRule="auto"/>
        <w:ind w:left="0" w:right="-805" w:hanging="284"/>
        <w:contextualSpacing w:val="0"/>
        <w:rPr>
          <w:rFonts w:ascii="Arial" w:hAnsi="Arial" w:cs="Arial"/>
          <w:szCs w:val="24"/>
        </w:rPr>
      </w:pPr>
      <w:r w:rsidRPr="00FA4733">
        <w:rPr>
          <w:rFonts w:ascii="Arial" w:hAnsi="Arial" w:cs="Arial"/>
          <w:szCs w:val="24"/>
        </w:rPr>
        <w:t>Capital Investment Strategy updated for 2019/20 and approved by Executive (5.9)</w:t>
      </w:r>
    </w:p>
    <w:p w:rsidRPr="00FA4733" w:rsidR="00A55DB5" w:rsidP="00DE0E50" w:rsidRDefault="00A55DB5" w14:paraId="24D0E779" w14:textId="6BD6BC82">
      <w:pPr>
        <w:pStyle w:val="ListParagraph"/>
        <w:numPr>
          <w:ilvl w:val="0"/>
          <w:numId w:val="30"/>
        </w:numPr>
        <w:spacing w:before="120" w:after="0" w:line="240" w:lineRule="auto"/>
        <w:ind w:left="0" w:right="-805" w:hanging="284"/>
        <w:contextualSpacing w:val="0"/>
        <w:rPr>
          <w:rFonts w:ascii="Arial" w:hAnsi="Arial" w:cs="Arial"/>
          <w:szCs w:val="24"/>
        </w:rPr>
      </w:pPr>
      <w:r>
        <w:rPr>
          <w:rFonts w:ascii="Arial" w:hAnsi="Arial" w:cs="Arial"/>
          <w:szCs w:val="24"/>
        </w:rPr>
        <w:t>A new Organisational Development Strategy has been finalised. (5.16)</w:t>
      </w:r>
    </w:p>
    <w:p w:rsidR="00CE36F1" w:rsidP="00CE36F1" w:rsidRDefault="00CE36F1" w14:paraId="25A07711" w14:textId="77777777">
      <w:pPr>
        <w:spacing w:after="0" w:line="240" w:lineRule="auto"/>
        <w:ind w:left="-357" w:right="-805"/>
        <w:rPr>
          <w:rFonts w:ascii="Arial" w:hAnsi="Arial" w:cs="Arial"/>
          <w:b/>
          <w:color w:val="00B050"/>
          <w:sz w:val="24"/>
          <w:szCs w:val="24"/>
        </w:rPr>
      </w:pPr>
    </w:p>
    <w:p w:rsidRPr="00E07A6F" w:rsidR="00176393" w:rsidP="008179C9" w:rsidRDefault="00176393" w14:paraId="779934C4" w14:textId="2F247B71">
      <w:pPr>
        <w:spacing w:after="120" w:line="240" w:lineRule="auto"/>
        <w:ind w:left="-357" w:right="-805"/>
        <w:rPr>
          <w:rFonts w:ascii="Arial" w:hAnsi="Arial" w:cs="Arial"/>
          <w:b/>
          <w:color w:val="4472C4" w:themeColor="accent5"/>
          <w:sz w:val="18"/>
          <w:szCs w:val="24"/>
        </w:rPr>
      </w:pPr>
      <w:r w:rsidRPr="00E07A6F">
        <w:rPr>
          <w:rFonts w:ascii="Arial" w:hAnsi="Arial" w:cs="Arial"/>
          <w:b/>
          <w:color w:val="00B050"/>
          <w:sz w:val="24"/>
          <w:szCs w:val="24"/>
        </w:rPr>
        <w:t>Green highlights</w:t>
      </w:r>
    </w:p>
    <w:p w:rsidRPr="00A55DB5" w:rsidR="008179C9" w:rsidP="00A55DB5" w:rsidRDefault="00FA4733" w14:paraId="335F17E1" w14:textId="32E47E97">
      <w:pPr>
        <w:pStyle w:val="ListParagraph"/>
        <w:numPr>
          <w:ilvl w:val="0"/>
          <w:numId w:val="17"/>
        </w:numPr>
        <w:spacing w:after="120" w:line="240" w:lineRule="auto"/>
        <w:ind w:left="0" w:right="-805" w:hanging="284"/>
        <w:contextualSpacing w:val="0"/>
        <w:rPr>
          <w:rFonts w:ascii="Arial" w:hAnsi="Arial" w:cs="Arial"/>
          <w:szCs w:val="24"/>
        </w:rPr>
      </w:pPr>
      <w:r w:rsidRPr="00A55DB5">
        <w:rPr>
          <w:rFonts w:ascii="Arial" w:hAnsi="Arial" w:cs="Arial"/>
          <w:szCs w:val="24"/>
        </w:rPr>
        <w:t>The myAllerdale on-line reporting service is now firmly established with customers and is still being developed with focus moving onto online booking for pest control and bulky waste collections as well as missed bin collections and lost /stolen bins to go directly from myAllerdal</w:t>
      </w:r>
      <w:r w:rsidR="004D11DC">
        <w:rPr>
          <w:rFonts w:ascii="Arial" w:hAnsi="Arial" w:cs="Arial"/>
          <w:szCs w:val="24"/>
        </w:rPr>
        <w:t>e into the new waste system (W</w:t>
      </w:r>
      <w:r w:rsidRPr="00A55DB5">
        <w:rPr>
          <w:rFonts w:ascii="Arial" w:hAnsi="Arial" w:cs="Arial"/>
          <w:szCs w:val="24"/>
        </w:rPr>
        <w:t xml:space="preserve">hitespace).  </w:t>
      </w:r>
      <w:r w:rsidRPr="00A55DB5" w:rsidR="00A55DB5">
        <w:rPr>
          <w:rFonts w:ascii="Arial" w:hAnsi="Arial" w:cs="Arial"/>
          <w:szCs w:val="24"/>
        </w:rPr>
        <w:t>(5.1</w:t>
      </w:r>
      <w:r w:rsidRPr="00A55DB5" w:rsidR="00CF6F37">
        <w:rPr>
          <w:rFonts w:ascii="Arial" w:hAnsi="Arial" w:cs="Arial"/>
          <w:szCs w:val="24"/>
        </w:rPr>
        <w:t>)</w:t>
      </w:r>
    </w:p>
    <w:p w:rsidR="00176393" w:rsidP="00CA1676" w:rsidRDefault="00176393" w14:paraId="08493355" w14:textId="7741D396">
      <w:pPr>
        <w:spacing w:after="120" w:line="240" w:lineRule="auto"/>
        <w:ind w:left="-357" w:right="-805"/>
        <w:rPr>
          <w:rFonts w:ascii="Arial" w:hAnsi="Arial" w:cs="Arial"/>
          <w:szCs w:val="24"/>
        </w:rPr>
      </w:pPr>
      <w:r w:rsidRPr="00E07A6F">
        <w:rPr>
          <w:rFonts w:ascii="Arial" w:hAnsi="Arial" w:cs="Arial"/>
          <w:b/>
          <w:color w:val="FFC000"/>
          <w:sz w:val="24"/>
          <w:szCs w:val="24"/>
        </w:rPr>
        <w:t>Amber – areas to watch</w:t>
      </w:r>
    </w:p>
    <w:p w:rsidRPr="0067402C" w:rsidR="0067402C" w:rsidP="004D11DC" w:rsidRDefault="0067402C" w14:paraId="2C6D9CAB" w14:textId="0A8F6807">
      <w:pPr>
        <w:pStyle w:val="ListParagraph"/>
        <w:numPr>
          <w:ilvl w:val="0"/>
          <w:numId w:val="42"/>
        </w:numPr>
        <w:spacing w:after="80" w:line="240" w:lineRule="auto"/>
        <w:ind w:left="0" w:right="-754" w:hanging="284"/>
        <w:contextualSpacing w:val="0"/>
        <w:rPr>
          <w:rFonts w:ascii="Arial" w:hAnsi="Arial" w:cs="Arial"/>
        </w:rPr>
      </w:pPr>
      <w:r w:rsidRPr="0067402C">
        <w:rPr>
          <w:rFonts w:ascii="Arial" w:hAnsi="Arial" w:cs="Arial"/>
        </w:rPr>
        <w:t xml:space="preserve">Work to review our Revenues and Benefits Shared arrangements has been rescheduled to be completed by </w:t>
      </w:r>
      <w:r w:rsidRPr="0067402C" w:rsidR="00BF42F8">
        <w:rPr>
          <w:rFonts w:ascii="Arial" w:hAnsi="Arial" w:cs="Arial"/>
        </w:rPr>
        <w:t>mid-2019</w:t>
      </w:r>
      <w:r w:rsidRPr="0067402C">
        <w:rPr>
          <w:rFonts w:ascii="Arial" w:hAnsi="Arial" w:cs="Arial"/>
        </w:rPr>
        <w:t>.</w:t>
      </w:r>
      <w:r w:rsidR="00A55DB5">
        <w:rPr>
          <w:rFonts w:ascii="Arial" w:hAnsi="Arial" w:cs="Arial"/>
        </w:rPr>
        <w:t xml:space="preserve"> (5.4)</w:t>
      </w:r>
    </w:p>
    <w:p w:rsidRPr="0067402C" w:rsidR="0067402C" w:rsidP="004D11DC" w:rsidRDefault="0067402C" w14:paraId="04200512" w14:textId="484F8AA1">
      <w:pPr>
        <w:pStyle w:val="ListParagraph"/>
        <w:numPr>
          <w:ilvl w:val="0"/>
          <w:numId w:val="42"/>
        </w:numPr>
        <w:spacing w:after="80" w:line="240" w:lineRule="auto"/>
        <w:ind w:left="0" w:right="-754" w:hanging="284"/>
        <w:contextualSpacing w:val="0"/>
        <w:rPr>
          <w:rFonts w:ascii="Arial" w:hAnsi="Arial" w:cs="Arial"/>
        </w:rPr>
      </w:pPr>
      <w:r w:rsidRPr="0067402C">
        <w:rPr>
          <w:rFonts w:ascii="Arial" w:hAnsi="Arial" w:cs="Arial"/>
        </w:rPr>
        <w:t>Delivery of some elements of the new Digital Strategy are underway, but some are behind schedule.</w:t>
      </w:r>
      <w:r w:rsidR="00A55DB5">
        <w:rPr>
          <w:rFonts w:ascii="Arial" w:hAnsi="Arial" w:cs="Arial"/>
        </w:rPr>
        <w:t xml:space="preserve"> (5.5)</w:t>
      </w:r>
    </w:p>
    <w:p w:rsidRPr="001868DD" w:rsidR="0067402C" w:rsidP="004D11DC" w:rsidRDefault="0067402C" w14:paraId="5B6F38D0" w14:textId="4D76ED65">
      <w:pPr>
        <w:pStyle w:val="ListParagraph"/>
        <w:numPr>
          <w:ilvl w:val="0"/>
          <w:numId w:val="42"/>
        </w:numPr>
        <w:spacing w:after="80" w:line="240" w:lineRule="auto"/>
        <w:ind w:left="0" w:right="-754" w:hanging="284"/>
        <w:contextualSpacing w:val="0"/>
        <w:rPr>
          <w:rFonts w:ascii="Arial" w:hAnsi="Arial" w:cs="Arial"/>
        </w:rPr>
      </w:pPr>
      <w:r w:rsidRPr="0067402C">
        <w:rPr>
          <w:rFonts w:ascii="Arial" w:hAnsi="Arial" w:cs="Arial"/>
        </w:rPr>
        <w:t xml:space="preserve">The </w:t>
      </w:r>
      <w:r w:rsidRPr="001868DD">
        <w:rPr>
          <w:rFonts w:ascii="Arial" w:hAnsi="Arial" w:cs="Arial"/>
        </w:rPr>
        <w:t>impact of the changes to local government financing remains unknown as government has yet to detail the changes.  The Medium term Financial Plan will be updated as new information becomes available.</w:t>
      </w:r>
      <w:r w:rsidRPr="001868DD" w:rsidR="00A55DB5">
        <w:rPr>
          <w:rFonts w:ascii="Arial" w:hAnsi="Arial" w:cs="Arial"/>
        </w:rPr>
        <w:t xml:space="preserve"> (5.11)</w:t>
      </w:r>
    </w:p>
    <w:p w:rsidR="008D3AA9" w:rsidP="0067402C" w:rsidRDefault="008D3AA9" w14:paraId="0E3EA25F" w14:textId="3DBEDBA9">
      <w:pPr>
        <w:spacing w:before="120" w:after="80" w:line="240" w:lineRule="auto"/>
        <w:ind w:left="-357"/>
        <w:rPr>
          <w:rFonts w:ascii="Arial" w:hAnsi="Arial" w:cs="Arial"/>
          <w:b/>
          <w:color w:val="C00000"/>
          <w:sz w:val="24"/>
          <w:szCs w:val="24"/>
        </w:rPr>
      </w:pPr>
      <w:r w:rsidRPr="008F2D28">
        <w:rPr>
          <w:rFonts w:ascii="Arial" w:hAnsi="Arial" w:cs="Arial"/>
          <w:b/>
          <w:color w:val="C00000"/>
          <w:sz w:val="24"/>
          <w:szCs w:val="24"/>
        </w:rPr>
        <w:t xml:space="preserve">Red </w:t>
      </w:r>
    </w:p>
    <w:p w:rsidRPr="0067402C" w:rsidR="0067402C" w:rsidP="004D11DC" w:rsidRDefault="0067402C" w14:paraId="69222449" w14:textId="5122B73F">
      <w:pPr>
        <w:pStyle w:val="ListParagraph"/>
        <w:numPr>
          <w:ilvl w:val="0"/>
          <w:numId w:val="41"/>
        </w:numPr>
        <w:spacing w:after="80" w:line="240" w:lineRule="auto"/>
        <w:ind w:left="0" w:right="-811" w:hanging="284"/>
        <w:contextualSpacing w:val="0"/>
        <w:rPr>
          <w:rFonts w:ascii="Arial" w:hAnsi="Arial" w:cs="Arial"/>
          <w:szCs w:val="24"/>
        </w:rPr>
      </w:pPr>
      <w:r w:rsidRPr="0067402C">
        <w:rPr>
          <w:rFonts w:ascii="Arial" w:hAnsi="Arial" w:cs="Arial"/>
          <w:szCs w:val="24"/>
        </w:rPr>
        <w:t xml:space="preserve">Co-location of customer access points across the district into libraries/other appropriate locations – tentative task have resumed with CCC, but it is likely to be some time before any decision has been reached on CCC’s side. </w:t>
      </w:r>
      <w:r w:rsidR="00A55DB5">
        <w:rPr>
          <w:rFonts w:ascii="Arial" w:hAnsi="Arial" w:cs="Arial"/>
          <w:szCs w:val="24"/>
        </w:rPr>
        <w:t>(5.3)</w:t>
      </w:r>
    </w:p>
    <w:p w:rsidRPr="0067402C" w:rsidR="0067402C" w:rsidP="004D11DC" w:rsidRDefault="0067402C" w14:paraId="5DD6EA7F" w14:textId="69C5F0F4">
      <w:pPr>
        <w:pStyle w:val="ListParagraph"/>
        <w:numPr>
          <w:ilvl w:val="0"/>
          <w:numId w:val="41"/>
        </w:numPr>
        <w:spacing w:after="80" w:line="240" w:lineRule="auto"/>
        <w:ind w:left="0" w:right="-811" w:hanging="284"/>
        <w:contextualSpacing w:val="0"/>
        <w:rPr>
          <w:rFonts w:ascii="Arial" w:hAnsi="Arial" w:cs="Arial"/>
          <w:szCs w:val="24"/>
        </w:rPr>
      </w:pPr>
      <w:r w:rsidRPr="0067402C">
        <w:rPr>
          <w:rFonts w:ascii="Arial" w:hAnsi="Arial" w:cs="Arial"/>
          <w:szCs w:val="24"/>
        </w:rPr>
        <w:t xml:space="preserve">The town centre wifi project has been mothballed pending an agreement on our use of street lights for wifi equipment.  </w:t>
      </w:r>
      <w:r w:rsidR="00A55DB5">
        <w:rPr>
          <w:rFonts w:ascii="Arial" w:hAnsi="Arial" w:cs="Arial"/>
          <w:szCs w:val="24"/>
        </w:rPr>
        <w:t>(5.6)</w:t>
      </w:r>
    </w:p>
    <w:p w:rsidRPr="0067402C" w:rsidR="0067402C" w:rsidP="004D11DC" w:rsidRDefault="0067402C" w14:paraId="18EEEC25" w14:textId="5AFD6971">
      <w:pPr>
        <w:pStyle w:val="ListParagraph"/>
        <w:numPr>
          <w:ilvl w:val="0"/>
          <w:numId w:val="41"/>
        </w:numPr>
        <w:spacing w:after="80" w:line="240" w:lineRule="auto"/>
        <w:ind w:left="0" w:right="-754" w:hanging="284"/>
        <w:contextualSpacing w:val="0"/>
        <w:rPr>
          <w:rFonts w:ascii="Arial" w:hAnsi="Arial" w:cs="Arial"/>
        </w:rPr>
      </w:pPr>
      <w:r w:rsidRPr="0067402C">
        <w:rPr>
          <w:rFonts w:ascii="Arial" w:hAnsi="Arial" w:cs="Arial"/>
        </w:rPr>
        <w:t>Implementation of the new web-based land and property system (Arcus) has experienced significant issues.  There is a plan in place to address these.</w:t>
      </w:r>
      <w:r w:rsidR="00A55DB5">
        <w:rPr>
          <w:rFonts w:ascii="Arial" w:hAnsi="Arial" w:cs="Arial"/>
        </w:rPr>
        <w:t xml:space="preserve"> (5.20)</w:t>
      </w:r>
    </w:p>
    <w:p w:rsidR="007A4EF6" w:rsidP="00BB2E00" w:rsidRDefault="007A4EF6" w14:paraId="4A8A5C2C" w14:textId="77777777">
      <w:pPr>
        <w:spacing w:after="0" w:line="240" w:lineRule="auto"/>
        <w:ind w:right="-806"/>
        <w:rPr>
          <w:rFonts w:ascii="Arial" w:hAnsi="Arial" w:cs="Arial"/>
          <w:sz w:val="24"/>
          <w:szCs w:val="24"/>
        </w:rPr>
      </w:pPr>
    </w:p>
    <w:p w:rsidRPr="00233DBF" w:rsidR="00503568" w:rsidP="00233DBF" w:rsidRDefault="00503568" w14:paraId="18BE3339" w14:textId="18CFB449">
      <w:pPr>
        <w:shd w:val="clear" w:color="auto" w:fill="B4C6E7" w:themeFill="accent5" w:themeFillTint="66"/>
        <w:spacing w:after="0" w:line="240" w:lineRule="auto"/>
        <w:ind w:left="-360" w:right="-612"/>
        <w:rPr>
          <w:rFonts w:ascii="Arial" w:hAnsi="Arial" w:cs="Arial"/>
          <w:b/>
          <w:color w:val="000000" w:themeColor="text1"/>
          <w:sz w:val="28"/>
          <w:szCs w:val="24"/>
        </w:rPr>
      </w:pPr>
      <w:r w:rsidRPr="00233DBF">
        <w:rPr>
          <w:rFonts w:ascii="Arial" w:hAnsi="Arial" w:cs="Arial"/>
          <w:b/>
          <w:color w:val="000000" w:themeColor="text1"/>
          <w:sz w:val="28"/>
          <w:szCs w:val="24"/>
        </w:rPr>
        <w:t>Key performance indicators</w:t>
      </w:r>
      <w:r w:rsidR="001B0F23">
        <w:rPr>
          <w:rFonts w:ascii="Arial" w:hAnsi="Arial" w:cs="Arial"/>
          <w:b/>
          <w:color w:val="000000" w:themeColor="text1"/>
          <w:sz w:val="28"/>
          <w:szCs w:val="24"/>
        </w:rPr>
        <w:t xml:space="preserve"> (annual outturn)</w:t>
      </w:r>
      <w:r w:rsidR="001B0F23">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008179C9">
        <w:rPr>
          <w:rFonts w:ascii="Arial" w:hAnsi="Arial" w:cs="Arial"/>
          <w:b/>
          <w:color w:val="000000" w:themeColor="text1"/>
          <w:sz w:val="28"/>
          <w:szCs w:val="24"/>
        </w:rPr>
        <w:tab/>
      </w:r>
      <w:r w:rsidRPr="008179C9" w:rsidR="008179C9">
        <w:rPr>
          <w:rFonts w:ascii="Arial" w:hAnsi="Arial" w:cs="Arial"/>
          <w:color w:val="000000" w:themeColor="text1"/>
          <w:sz w:val="28"/>
          <w:szCs w:val="24"/>
        </w:rPr>
        <w:t>(Appendix B)</w:t>
      </w:r>
    </w:p>
    <w:p w:rsidR="00503568" w:rsidP="00503568" w:rsidRDefault="00503568" w14:paraId="53BFDD16" w14:textId="78FEE77F">
      <w:pPr>
        <w:spacing w:after="0" w:line="240" w:lineRule="auto"/>
        <w:ind w:left="-360" w:right="-806"/>
        <w:rPr>
          <w:rFonts w:ascii="Arial" w:hAnsi="Arial" w:cs="Arial"/>
          <w:sz w:val="24"/>
          <w:szCs w:val="24"/>
        </w:rPr>
      </w:pPr>
    </w:p>
    <w:p w:rsidR="00FE5997" w:rsidP="00FE5997" w:rsidRDefault="00FE5997" w14:paraId="62027893" w14:textId="77777777">
      <w:pPr>
        <w:spacing w:after="0" w:line="240" w:lineRule="auto"/>
        <w:ind w:left="-360" w:right="-806"/>
        <w:rPr>
          <w:rFonts w:ascii="Arial" w:hAnsi="Arial" w:cs="Arial"/>
          <w:sz w:val="24"/>
          <w:szCs w:val="24"/>
        </w:rPr>
      </w:pPr>
      <w:r w:rsidRPr="00AE4C66">
        <w:rPr>
          <w:rFonts w:ascii="Arial" w:hAnsi="Arial" w:cs="Arial"/>
          <w:b/>
          <w:color w:val="00B050"/>
          <w:sz w:val="24"/>
          <w:szCs w:val="24"/>
        </w:rPr>
        <w:t>Green highlights</w:t>
      </w:r>
    </w:p>
    <w:p w:rsidRPr="008D3AA9" w:rsidR="008F2D28" w:rsidP="0067402C" w:rsidRDefault="00DD6C1F" w14:paraId="6762E5B8" w14:textId="6C1B49C1">
      <w:pPr>
        <w:pStyle w:val="ListParagraph"/>
        <w:numPr>
          <w:ilvl w:val="0"/>
          <w:numId w:val="25"/>
        </w:numPr>
        <w:spacing w:before="80" w:after="0" w:line="240" w:lineRule="auto"/>
        <w:ind w:left="0" w:right="-805" w:hanging="284"/>
        <w:contextualSpacing w:val="0"/>
        <w:rPr>
          <w:rFonts w:ascii="Arial" w:hAnsi="Arial" w:cs="Arial"/>
          <w:szCs w:val="24"/>
        </w:rPr>
      </w:pPr>
      <w:r>
        <w:rPr>
          <w:rFonts w:ascii="Arial" w:hAnsi="Arial" w:cs="Arial"/>
          <w:szCs w:val="24"/>
        </w:rPr>
        <w:t>11,515</w:t>
      </w:r>
      <w:r w:rsidR="00A55DB5">
        <w:rPr>
          <w:rFonts w:ascii="Arial" w:hAnsi="Arial" w:cs="Arial"/>
          <w:szCs w:val="24"/>
        </w:rPr>
        <w:t xml:space="preserve"> </w:t>
      </w:r>
      <w:r w:rsidRPr="008D3AA9" w:rsidR="008F2D28">
        <w:rPr>
          <w:rFonts w:ascii="Arial" w:hAnsi="Arial" w:cs="Arial"/>
          <w:szCs w:val="24"/>
        </w:rPr>
        <w:t xml:space="preserve">customer registrations to myAllerdale </w:t>
      </w:r>
      <w:r>
        <w:rPr>
          <w:rFonts w:ascii="Arial" w:hAnsi="Arial" w:cs="Arial"/>
          <w:szCs w:val="24"/>
        </w:rPr>
        <w:t xml:space="preserve">over the year </w:t>
      </w:r>
      <w:r w:rsidRPr="008D3AA9" w:rsidR="008F2D28">
        <w:rPr>
          <w:rFonts w:ascii="Arial" w:hAnsi="Arial" w:cs="Arial"/>
          <w:szCs w:val="24"/>
        </w:rPr>
        <w:t>(KCTC03)</w:t>
      </w:r>
    </w:p>
    <w:p w:rsidRPr="008D3AA9" w:rsidR="00FE5997" w:rsidP="0067402C" w:rsidRDefault="008F2D28" w14:paraId="718F06FC" w14:textId="2B36DDD1">
      <w:pPr>
        <w:pStyle w:val="ListParagraph"/>
        <w:numPr>
          <w:ilvl w:val="0"/>
          <w:numId w:val="25"/>
        </w:numPr>
        <w:spacing w:before="80" w:after="0" w:line="240" w:lineRule="auto"/>
        <w:ind w:left="0" w:right="-805" w:hanging="284"/>
        <w:contextualSpacing w:val="0"/>
        <w:rPr>
          <w:rFonts w:ascii="Arial" w:hAnsi="Arial" w:cs="Arial"/>
        </w:rPr>
      </w:pPr>
      <w:r w:rsidRPr="008D3AA9">
        <w:rPr>
          <w:rFonts w:ascii="Arial" w:hAnsi="Arial" w:cs="Arial"/>
        </w:rPr>
        <w:t xml:space="preserve">Customer </w:t>
      </w:r>
      <w:r w:rsidR="008D3AA9">
        <w:rPr>
          <w:rFonts w:ascii="Arial" w:hAnsi="Arial" w:cs="Arial"/>
        </w:rPr>
        <w:t xml:space="preserve">service </w:t>
      </w:r>
      <w:r w:rsidRPr="008D3AA9">
        <w:rPr>
          <w:rFonts w:ascii="Arial" w:hAnsi="Arial" w:cs="Arial"/>
        </w:rPr>
        <w:t>satisfaction score at 9</w:t>
      </w:r>
      <w:r w:rsidRPr="008D3AA9" w:rsidR="008D3AA9">
        <w:rPr>
          <w:rFonts w:ascii="Arial" w:hAnsi="Arial" w:cs="Arial"/>
        </w:rPr>
        <w:t>2</w:t>
      </w:r>
      <w:r w:rsidRPr="008D3AA9">
        <w:rPr>
          <w:rFonts w:ascii="Arial" w:hAnsi="Arial" w:cs="Arial"/>
        </w:rPr>
        <w:t xml:space="preserve">% for </w:t>
      </w:r>
      <w:r w:rsidRPr="008D3AA9" w:rsidR="00393627">
        <w:rPr>
          <w:rFonts w:ascii="Arial" w:hAnsi="Arial" w:cs="Arial"/>
        </w:rPr>
        <w:t>the year</w:t>
      </w:r>
      <w:r w:rsidRPr="008D3AA9">
        <w:rPr>
          <w:rFonts w:ascii="Arial" w:hAnsi="Arial" w:cs="Arial"/>
        </w:rPr>
        <w:t xml:space="preserve"> (KCTC06)</w:t>
      </w:r>
    </w:p>
    <w:p w:rsidRPr="008D3AA9" w:rsidR="00393627" w:rsidP="0067402C" w:rsidRDefault="00393627" w14:paraId="583583F8" w14:textId="47D4C572">
      <w:pPr>
        <w:pStyle w:val="ListParagraph"/>
        <w:numPr>
          <w:ilvl w:val="0"/>
          <w:numId w:val="25"/>
        </w:numPr>
        <w:spacing w:before="80" w:after="0" w:line="240" w:lineRule="auto"/>
        <w:ind w:left="0" w:right="-805" w:hanging="284"/>
        <w:contextualSpacing w:val="0"/>
        <w:rPr>
          <w:rFonts w:ascii="Arial" w:hAnsi="Arial" w:cs="Arial"/>
        </w:rPr>
      </w:pPr>
      <w:r w:rsidRPr="008D3AA9">
        <w:rPr>
          <w:rFonts w:ascii="Arial" w:hAnsi="Arial" w:cs="Arial"/>
        </w:rPr>
        <w:lastRenderedPageBreak/>
        <w:t>9</w:t>
      </w:r>
      <w:r w:rsidRPr="008D3AA9" w:rsidR="008D3AA9">
        <w:rPr>
          <w:rFonts w:ascii="Arial" w:hAnsi="Arial" w:cs="Arial"/>
        </w:rPr>
        <w:t>0</w:t>
      </w:r>
      <w:r w:rsidRPr="008D3AA9">
        <w:rPr>
          <w:rFonts w:ascii="Arial" w:hAnsi="Arial" w:cs="Arial"/>
        </w:rPr>
        <w:t>% of ICT support calls resolved w</w:t>
      </w:r>
      <w:r w:rsidRPr="008D3AA9" w:rsidR="008D3AA9">
        <w:rPr>
          <w:rFonts w:ascii="Arial" w:hAnsi="Arial" w:cs="Arial"/>
        </w:rPr>
        <w:t>ithin SLA against a target of 87</w:t>
      </w:r>
      <w:r w:rsidRPr="008D3AA9">
        <w:rPr>
          <w:rFonts w:ascii="Arial" w:hAnsi="Arial" w:cs="Arial"/>
        </w:rPr>
        <w:t>% (KCTC11)</w:t>
      </w:r>
    </w:p>
    <w:p w:rsidRPr="008D3AA9" w:rsidR="00FE5997" w:rsidP="0067402C" w:rsidRDefault="008D3AA9" w14:paraId="4143766A" w14:textId="7ED0835A">
      <w:pPr>
        <w:pStyle w:val="ListParagraph"/>
        <w:numPr>
          <w:ilvl w:val="0"/>
          <w:numId w:val="25"/>
        </w:numPr>
        <w:spacing w:before="80" w:after="0" w:line="240" w:lineRule="auto"/>
        <w:ind w:left="0" w:right="-805" w:hanging="284"/>
        <w:contextualSpacing w:val="0"/>
        <w:rPr>
          <w:rFonts w:ascii="Arial" w:hAnsi="Arial" w:cs="Arial"/>
        </w:rPr>
      </w:pPr>
      <w:r w:rsidRPr="008D3AA9">
        <w:rPr>
          <w:rFonts w:ascii="Arial" w:hAnsi="Arial" w:cs="Arial"/>
          <w:szCs w:val="24"/>
        </w:rPr>
        <w:t>Occupancy rate of the Council’s property portfolio at 93% against a target of 90% (KEG04)</w:t>
      </w:r>
      <w:r w:rsidRPr="008D3AA9" w:rsidR="00E74EDE">
        <w:rPr>
          <w:rFonts w:ascii="Arial" w:hAnsi="Arial" w:cs="Arial"/>
          <w:szCs w:val="24"/>
        </w:rPr>
        <w:t xml:space="preserve"> </w:t>
      </w:r>
    </w:p>
    <w:p w:rsidRPr="008F2D28" w:rsidR="00E74EDE" w:rsidP="00503568" w:rsidRDefault="00E74EDE" w14:paraId="08D26783" w14:textId="7CE43D17">
      <w:pPr>
        <w:spacing w:after="0" w:line="240" w:lineRule="auto"/>
        <w:ind w:left="-360" w:right="-806"/>
        <w:rPr>
          <w:rFonts w:ascii="Arial" w:hAnsi="Arial" w:cs="Arial"/>
        </w:rPr>
      </w:pPr>
    </w:p>
    <w:p w:rsidR="00FE5997" w:rsidP="00F05F84" w:rsidRDefault="00FE5997" w14:paraId="5213170E" w14:textId="77777777">
      <w:pPr>
        <w:spacing w:after="120" w:line="240" w:lineRule="auto"/>
        <w:ind w:left="-357" w:right="-805"/>
        <w:rPr>
          <w:rFonts w:ascii="Arial" w:hAnsi="Arial" w:cs="Arial"/>
          <w:sz w:val="24"/>
          <w:szCs w:val="24"/>
        </w:rPr>
      </w:pPr>
      <w:r w:rsidRPr="00AE4C66">
        <w:rPr>
          <w:rFonts w:ascii="Arial" w:hAnsi="Arial" w:cs="Arial"/>
          <w:b/>
          <w:color w:val="FFC000"/>
          <w:sz w:val="24"/>
          <w:szCs w:val="24"/>
        </w:rPr>
        <w:t>Amber – areas to watch</w:t>
      </w:r>
    </w:p>
    <w:p w:rsidRPr="00F05F84" w:rsidR="00F05F84" w:rsidP="0067402C" w:rsidRDefault="00F05F84" w14:paraId="0CBB7F0B" w14:textId="77777777">
      <w:pPr>
        <w:pStyle w:val="Default"/>
        <w:numPr>
          <w:ilvl w:val="0"/>
          <w:numId w:val="38"/>
        </w:numPr>
        <w:spacing w:before="80" w:after="80"/>
        <w:ind w:left="0" w:hanging="284"/>
        <w:rPr>
          <w:sz w:val="22"/>
          <w:szCs w:val="22"/>
        </w:rPr>
      </w:pPr>
      <w:r w:rsidRPr="00F05F84">
        <w:rPr>
          <w:sz w:val="22"/>
          <w:szCs w:val="22"/>
        </w:rPr>
        <w:t>Abandoned call rate – 8% against a target of 7%.</w:t>
      </w:r>
    </w:p>
    <w:p w:rsidRPr="00F05F84" w:rsidR="00F05F84" w:rsidP="0067402C" w:rsidRDefault="00F05F84" w14:paraId="10057475" w14:textId="77777777">
      <w:pPr>
        <w:pStyle w:val="Default"/>
        <w:numPr>
          <w:ilvl w:val="0"/>
          <w:numId w:val="38"/>
        </w:numPr>
        <w:spacing w:before="80" w:after="80"/>
        <w:ind w:left="0" w:hanging="284"/>
        <w:rPr>
          <w:sz w:val="22"/>
          <w:szCs w:val="22"/>
        </w:rPr>
      </w:pPr>
      <w:r w:rsidRPr="00F05F84">
        <w:rPr>
          <w:sz w:val="22"/>
          <w:szCs w:val="22"/>
        </w:rPr>
        <w:t>Council tax collection rate - 97.46% against a target of 97.80%</w:t>
      </w:r>
    </w:p>
    <w:p w:rsidRPr="00F05F84" w:rsidR="00F05F84" w:rsidP="0067402C" w:rsidRDefault="00F05F84" w14:paraId="3C516D78" w14:textId="77777777">
      <w:pPr>
        <w:pStyle w:val="Default"/>
        <w:numPr>
          <w:ilvl w:val="0"/>
          <w:numId w:val="38"/>
        </w:numPr>
        <w:spacing w:before="80" w:after="80"/>
        <w:ind w:left="0" w:hanging="284"/>
        <w:rPr>
          <w:sz w:val="22"/>
          <w:szCs w:val="22"/>
        </w:rPr>
      </w:pPr>
      <w:r w:rsidRPr="00F05F84">
        <w:rPr>
          <w:sz w:val="22"/>
          <w:szCs w:val="22"/>
        </w:rPr>
        <w:t>Proportion of invoices paid within 30 days of receipt - 97.8% against a target of 98.0%.</w:t>
      </w:r>
    </w:p>
    <w:p w:rsidRPr="00F05F84" w:rsidR="00F05F84" w:rsidP="0067402C" w:rsidRDefault="00F05F84" w14:paraId="1AE15A94" w14:textId="77777777">
      <w:pPr>
        <w:pStyle w:val="Default"/>
        <w:numPr>
          <w:ilvl w:val="0"/>
          <w:numId w:val="38"/>
        </w:numPr>
        <w:spacing w:before="80"/>
        <w:ind w:left="0" w:hanging="284"/>
        <w:rPr>
          <w:sz w:val="22"/>
          <w:szCs w:val="22"/>
        </w:rPr>
      </w:pPr>
      <w:r w:rsidRPr="00F05F84">
        <w:rPr>
          <w:sz w:val="22"/>
          <w:szCs w:val="22"/>
        </w:rPr>
        <w:t>Proportion of workforce with zero absence - 89% against a target of 90%.</w:t>
      </w:r>
    </w:p>
    <w:p w:rsidRPr="00E74EDE" w:rsidR="00FE5997" w:rsidP="009C67F5" w:rsidRDefault="00FE5997" w14:paraId="5E50A4E9" w14:textId="12F1F927">
      <w:pPr>
        <w:spacing w:after="0" w:line="240" w:lineRule="auto"/>
        <w:ind w:left="-360" w:right="-806"/>
        <w:rPr>
          <w:rFonts w:ascii="Arial" w:hAnsi="Arial" w:cs="Arial"/>
          <w:szCs w:val="24"/>
        </w:rPr>
      </w:pPr>
    </w:p>
    <w:p w:rsidRPr="00752088" w:rsidR="008F2D28" w:rsidP="009C67F5" w:rsidRDefault="008F2D28" w14:paraId="56B0888B" w14:textId="71CB585F">
      <w:pPr>
        <w:spacing w:after="80" w:line="240" w:lineRule="auto"/>
        <w:ind w:left="-357"/>
        <w:rPr>
          <w:rFonts w:ascii="Arial" w:hAnsi="Arial" w:cs="Arial"/>
          <w:b/>
          <w:color w:val="C00000"/>
          <w:sz w:val="24"/>
          <w:szCs w:val="24"/>
        </w:rPr>
      </w:pPr>
      <w:r w:rsidRPr="00752088">
        <w:rPr>
          <w:rFonts w:ascii="Arial" w:hAnsi="Arial" w:cs="Arial"/>
          <w:b/>
          <w:color w:val="C00000"/>
          <w:sz w:val="24"/>
          <w:szCs w:val="24"/>
        </w:rPr>
        <w:t xml:space="preserve">Red </w:t>
      </w:r>
    </w:p>
    <w:p w:rsidRPr="00752088" w:rsidR="005B62B9" w:rsidP="0067402C" w:rsidRDefault="005B62B9" w14:paraId="0A548F92" w14:textId="686BE15C">
      <w:pPr>
        <w:pStyle w:val="Default"/>
        <w:numPr>
          <w:ilvl w:val="0"/>
          <w:numId w:val="26"/>
        </w:numPr>
        <w:spacing w:before="80" w:after="80"/>
        <w:ind w:left="0" w:hanging="284"/>
        <w:rPr>
          <w:sz w:val="22"/>
          <w:szCs w:val="22"/>
        </w:rPr>
      </w:pPr>
      <w:r w:rsidRPr="00752088">
        <w:rPr>
          <w:sz w:val="22"/>
          <w:szCs w:val="22"/>
        </w:rPr>
        <w:t xml:space="preserve">Average speed of answer on calls to 03031231702 - 73 seconds against a target </w:t>
      </w:r>
      <w:r w:rsidRPr="00752088" w:rsidR="00752088">
        <w:rPr>
          <w:sz w:val="22"/>
          <w:szCs w:val="22"/>
        </w:rPr>
        <w:t xml:space="preserve">of 45 </w:t>
      </w:r>
      <w:r w:rsidRPr="00752088">
        <w:rPr>
          <w:sz w:val="22"/>
          <w:szCs w:val="22"/>
        </w:rPr>
        <w:t>(KCTC04)</w:t>
      </w:r>
      <w:r w:rsidRPr="00752088" w:rsidR="00752088">
        <w:rPr>
          <w:sz w:val="22"/>
          <w:szCs w:val="22"/>
        </w:rPr>
        <w:t>.  Increased use of the ‘call back’ system means a better service for customers as they do not need to wait on the phone. However, the increasing use of the ‘call back’ system has affected the validity of this measure and it is being discontinued in 2019/20.</w:t>
      </w:r>
    </w:p>
    <w:p w:rsidRPr="00752088" w:rsidR="005B62B9" w:rsidP="46B17473" w:rsidRDefault="005B62B9" w14:paraId="69148E08" w14:textId="50CC71C8">
      <w:pPr>
        <w:pStyle w:val="Default"/>
        <w:numPr>
          <w:ilvl w:val="0"/>
          <w:numId w:val="26"/>
        </w:numPr>
        <w:spacing w:before="80" w:after="80"/>
        <w:ind w:left="0" w:hanging="284"/>
        <w:rPr>
          <w:sz w:val="22"/>
          <w:szCs w:val="22"/>
        </w:rPr>
      </w:pPr>
      <w:r w:rsidRPr="46B17473" w:rsidR="46B17473">
        <w:rPr>
          <w:sz w:val="22"/>
          <w:szCs w:val="22"/>
        </w:rPr>
        <w:t>Average number of working days lost to sickness absence per employee per annum – 12.5 against a target of 7 days (KPR01). A range of tools have been used to help people back into work and reduce sickness levels which are now showing results - February and March figures showed a marked improvement and this trend has continued on into April and May</w:t>
      </w:r>
      <w:r w:rsidRPr="46B17473" w:rsidR="46B17473">
        <w:rPr>
          <w:sz w:val="22"/>
          <w:szCs w:val="22"/>
        </w:rPr>
        <w:t>, with both months below the target of 7 days</w:t>
      </w:r>
      <w:r w:rsidRPr="46B17473" w:rsidR="46B17473">
        <w:rPr>
          <w:sz w:val="22"/>
          <w:szCs w:val="22"/>
        </w:rPr>
        <w:t xml:space="preserve">. </w:t>
      </w:r>
    </w:p>
    <w:p w:rsidR="00FE6643" w:rsidP="005B62B9" w:rsidRDefault="00FE6643" w14:paraId="6605FE7A" w14:textId="2A81D6AE">
      <w:pPr>
        <w:pStyle w:val="ListParagraph"/>
        <w:numPr>
          <w:ilvl w:val="0"/>
          <w:numId w:val="26"/>
        </w:numPr>
        <w:spacing w:before="120" w:after="0" w:line="240" w:lineRule="auto"/>
        <w:ind w:left="0" w:right="-805" w:hanging="284"/>
        <w:contextualSpacing w:val="0"/>
        <w:rPr>
          <w:rFonts w:ascii="Arial" w:hAnsi="Arial" w:cs="Arial"/>
          <w:sz w:val="24"/>
          <w:szCs w:val="24"/>
        </w:rPr>
      </w:pPr>
      <w:r>
        <w:rPr>
          <w:rFonts w:ascii="Arial" w:hAnsi="Arial" w:cs="Arial"/>
          <w:sz w:val="24"/>
          <w:szCs w:val="24"/>
        </w:rPr>
        <w:br w:type="page"/>
      </w:r>
    </w:p>
    <w:p w:rsidR="00C564E3" w:rsidP="007D3C37" w:rsidRDefault="00C564E3" w14:paraId="7D010102" w14:textId="1AB980D3">
      <w:pPr>
        <w:spacing w:after="0" w:line="240" w:lineRule="auto"/>
        <w:ind w:left="-360" w:right="-806"/>
        <w:rPr>
          <w:rFonts w:ascii="Arial" w:hAnsi="Arial" w:cs="Arial"/>
          <w:b/>
          <w:color w:val="4472C4" w:themeColor="accent5"/>
          <w:sz w:val="36"/>
          <w:szCs w:val="24"/>
        </w:rPr>
      </w:pPr>
      <w:r>
        <w:rPr>
          <w:rFonts w:ascii="Arial" w:hAnsi="Arial" w:cs="Arial"/>
          <w:b/>
          <w:color w:val="4472C4" w:themeColor="accent5"/>
          <w:sz w:val="36"/>
          <w:szCs w:val="24"/>
        </w:rPr>
        <w:lastRenderedPageBreak/>
        <w:t>Definitions</w:t>
      </w:r>
    </w:p>
    <w:p w:rsidRPr="003E48E2" w:rsidR="00C564E3" w:rsidP="00C564E3" w:rsidRDefault="00C564E3" w14:paraId="12817C04" w14:textId="0480C7AC">
      <w:pPr>
        <w:ind w:left="-360"/>
        <w:rPr>
          <w:rFonts w:ascii="Arial" w:hAnsi="Arial" w:cs="Arial"/>
          <w:b/>
          <w:sz w:val="24"/>
          <w:szCs w:val="24"/>
          <w:lang w:eastAsia="en-GB"/>
        </w:rPr>
      </w:pPr>
    </w:p>
    <w:tbl>
      <w:tblPr>
        <w:tblW w:w="9574" w:type="dxa"/>
        <w:tblInd w:w="-365" w:type="dxa"/>
        <w:tblBorders>
          <w:top w:val="single" w:color="333333" w:sz="4" w:space="0"/>
          <w:left w:val="single" w:color="333333" w:sz="4" w:space="0"/>
          <w:bottom w:val="single" w:color="333333" w:sz="4" w:space="0"/>
          <w:right w:val="single" w:color="333333" w:sz="4" w:space="0"/>
          <w:insideH w:val="single" w:color="333333" w:sz="4" w:space="0"/>
          <w:insideV w:val="single" w:color="333333" w:sz="4" w:space="0"/>
        </w:tblBorders>
        <w:tblLook w:val="01E0" w:firstRow="1" w:lastRow="1" w:firstColumn="1" w:lastColumn="1" w:noHBand="0" w:noVBand="0"/>
      </w:tblPr>
      <w:tblGrid>
        <w:gridCol w:w="1100"/>
        <w:gridCol w:w="4363"/>
        <w:gridCol w:w="4111"/>
      </w:tblGrid>
      <w:tr w:rsidRPr="003E48E2" w:rsidR="00C564E3" w:rsidTr="00FA587D" w14:paraId="3CF39338" w14:textId="77777777">
        <w:trPr>
          <w:trHeight w:val="454"/>
        </w:trPr>
        <w:tc>
          <w:tcPr>
            <w:tcW w:w="1100" w:type="dxa"/>
            <w:shd w:val="clear" w:color="auto" w:fill="BFBFBF"/>
            <w:vAlign w:val="center"/>
          </w:tcPr>
          <w:p w:rsidRPr="003E48E2" w:rsidR="00C564E3" w:rsidP="005E37BF" w:rsidRDefault="00C564E3" w14:paraId="0C7F62E6" w14:textId="77777777">
            <w:pPr>
              <w:rPr>
                <w:rFonts w:ascii="Arial" w:hAnsi="Arial" w:cs="Arial"/>
                <w:b/>
                <w:color w:val="FFFFFF"/>
                <w:lang w:eastAsia="en-GB"/>
              </w:rPr>
            </w:pPr>
          </w:p>
        </w:tc>
        <w:tc>
          <w:tcPr>
            <w:tcW w:w="4363" w:type="dxa"/>
            <w:shd w:val="clear" w:color="auto" w:fill="BFBFBF"/>
            <w:vAlign w:val="center"/>
          </w:tcPr>
          <w:p w:rsidRPr="008C0DF7" w:rsidR="00C564E3" w:rsidP="00515C58" w:rsidRDefault="00C564E3" w14:paraId="0E01C2F0" w14:textId="44889B32">
            <w:pPr>
              <w:rPr>
                <w:rFonts w:ascii="Arial" w:hAnsi="Arial" w:cs="Arial"/>
                <w:b/>
                <w:lang w:eastAsia="en-GB"/>
              </w:rPr>
            </w:pPr>
            <w:r w:rsidRPr="008C0DF7">
              <w:rPr>
                <w:rFonts w:ascii="Arial" w:hAnsi="Arial" w:cs="Arial"/>
                <w:b/>
                <w:lang w:eastAsia="en-GB"/>
              </w:rPr>
              <w:t>Pro</w:t>
            </w:r>
            <w:r w:rsidR="00515C58">
              <w:rPr>
                <w:rFonts w:ascii="Arial" w:hAnsi="Arial" w:cs="Arial"/>
                <w:b/>
                <w:lang w:eastAsia="en-GB"/>
              </w:rPr>
              <w:t>jects/activities</w:t>
            </w:r>
          </w:p>
        </w:tc>
        <w:tc>
          <w:tcPr>
            <w:tcW w:w="4111" w:type="dxa"/>
            <w:shd w:val="clear" w:color="auto" w:fill="BFBFBF"/>
          </w:tcPr>
          <w:p w:rsidRPr="008C0DF7" w:rsidR="00C564E3" w:rsidP="005E37BF" w:rsidRDefault="00515C58" w14:paraId="74A01932" w14:textId="0D4E5266">
            <w:pPr>
              <w:rPr>
                <w:rFonts w:ascii="Arial" w:hAnsi="Arial" w:cs="Arial"/>
                <w:b/>
                <w:lang w:eastAsia="en-GB"/>
              </w:rPr>
            </w:pPr>
            <w:r>
              <w:rPr>
                <w:rFonts w:ascii="Arial" w:hAnsi="Arial" w:cs="Arial"/>
                <w:b/>
                <w:lang w:eastAsia="en-GB"/>
              </w:rPr>
              <w:t xml:space="preserve">Key </w:t>
            </w:r>
            <w:r w:rsidRPr="008C0DF7" w:rsidR="00C564E3">
              <w:rPr>
                <w:rFonts w:ascii="Arial" w:hAnsi="Arial" w:cs="Arial"/>
                <w:b/>
                <w:lang w:eastAsia="en-GB"/>
              </w:rPr>
              <w:t xml:space="preserve">Performance </w:t>
            </w:r>
            <w:r>
              <w:rPr>
                <w:rFonts w:ascii="Arial" w:hAnsi="Arial" w:cs="Arial"/>
                <w:b/>
                <w:lang w:eastAsia="en-GB"/>
              </w:rPr>
              <w:t>Indicators</w:t>
            </w:r>
          </w:p>
        </w:tc>
      </w:tr>
      <w:tr w:rsidRPr="003E48E2" w:rsidR="00C564E3" w:rsidTr="00384C94" w14:paraId="444511FB" w14:textId="77777777">
        <w:trPr>
          <w:trHeight w:val="637"/>
        </w:trPr>
        <w:tc>
          <w:tcPr>
            <w:tcW w:w="1100" w:type="dxa"/>
            <w:shd w:val="clear" w:color="auto" w:fill="0070C0"/>
            <w:vAlign w:val="center"/>
          </w:tcPr>
          <w:p w:rsidRPr="00C564E3" w:rsidR="00C564E3" w:rsidP="005E37BF" w:rsidRDefault="00C564E3" w14:paraId="67638F27" w14:textId="77777777">
            <w:pPr>
              <w:spacing w:after="0" w:line="240" w:lineRule="auto"/>
              <w:jc w:val="center"/>
              <w:rPr>
                <w:rFonts w:ascii="Arial" w:hAnsi="Arial" w:cs="Arial"/>
                <w:b/>
                <w:lang w:eastAsia="en-GB"/>
              </w:rPr>
            </w:pPr>
            <w:r w:rsidRPr="00C564E3">
              <w:rPr>
                <w:rFonts w:ascii="Arial" w:hAnsi="Arial" w:cs="Arial"/>
                <w:b/>
                <w:lang w:eastAsia="en-GB"/>
              </w:rPr>
              <w:t>Blue</w:t>
            </w:r>
          </w:p>
        </w:tc>
        <w:tc>
          <w:tcPr>
            <w:tcW w:w="4363" w:type="dxa"/>
            <w:shd w:val="clear" w:color="auto" w:fill="auto"/>
            <w:vAlign w:val="center"/>
          </w:tcPr>
          <w:p w:rsidRPr="003E48E2" w:rsidR="00C564E3" w:rsidP="00D54A76" w:rsidRDefault="00C564E3" w14:paraId="7177B3C4" w14:textId="77777777">
            <w:pPr>
              <w:spacing w:after="0" w:line="240" w:lineRule="auto"/>
              <w:rPr>
                <w:rFonts w:ascii="Arial" w:hAnsi="Arial" w:cs="Arial"/>
                <w:lang w:eastAsia="en-GB"/>
              </w:rPr>
            </w:pPr>
            <w:r>
              <w:rPr>
                <w:rFonts w:ascii="Arial" w:hAnsi="Arial" w:cs="Arial"/>
                <w:lang w:eastAsia="en-GB"/>
              </w:rPr>
              <w:t>Complete</w:t>
            </w:r>
          </w:p>
        </w:tc>
        <w:tc>
          <w:tcPr>
            <w:tcW w:w="4111" w:type="dxa"/>
            <w:shd w:val="clear" w:color="auto" w:fill="BFBFBF" w:themeFill="background1" w:themeFillShade="BF"/>
            <w:vAlign w:val="center"/>
          </w:tcPr>
          <w:p w:rsidRPr="003E48E2" w:rsidR="00C564E3" w:rsidP="00D54A76" w:rsidRDefault="00C564E3" w14:paraId="183855ED" w14:textId="77777777">
            <w:pPr>
              <w:rPr>
                <w:rFonts w:ascii="Arial" w:hAnsi="Arial" w:cs="Arial"/>
                <w:lang w:eastAsia="en-GB"/>
              </w:rPr>
            </w:pPr>
          </w:p>
        </w:tc>
      </w:tr>
      <w:tr w:rsidRPr="003E48E2" w:rsidR="00C564E3" w:rsidTr="00384C94" w14:paraId="7997320E" w14:textId="77777777">
        <w:trPr>
          <w:trHeight w:val="885"/>
        </w:trPr>
        <w:tc>
          <w:tcPr>
            <w:tcW w:w="1100" w:type="dxa"/>
            <w:shd w:val="clear" w:color="auto" w:fill="00B050"/>
            <w:vAlign w:val="center"/>
          </w:tcPr>
          <w:p w:rsidRPr="00C564E3" w:rsidR="00C564E3" w:rsidP="00C564E3" w:rsidRDefault="00C564E3" w14:paraId="1A2F1094" w14:textId="213ABFF7">
            <w:pPr>
              <w:spacing w:after="0"/>
              <w:jc w:val="center"/>
              <w:rPr>
                <w:rFonts w:ascii="Arial" w:hAnsi="Arial" w:cs="Arial"/>
                <w:b/>
                <w:lang w:eastAsia="en-GB"/>
              </w:rPr>
            </w:pPr>
            <w:r w:rsidRPr="00C564E3">
              <w:rPr>
                <w:rFonts w:ascii="Arial" w:hAnsi="Arial" w:cs="Arial"/>
                <w:b/>
                <w:lang w:eastAsia="en-GB"/>
              </w:rPr>
              <w:t>Green</w:t>
            </w:r>
          </w:p>
        </w:tc>
        <w:tc>
          <w:tcPr>
            <w:tcW w:w="4363" w:type="dxa"/>
            <w:shd w:val="clear" w:color="auto" w:fill="auto"/>
            <w:vAlign w:val="center"/>
          </w:tcPr>
          <w:p w:rsidRPr="003E48E2" w:rsidR="00C564E3" w:rsidP="00D54A76" w:rsidRDefault="00C564E3" w14:paraId="1A9BB870" w14:textId="65E31FD3">
            <w:pPr>
              <w:spacing w:after="0" w:line="240" w:lineRule="auto"/>
              <w:rPr>
                <w:rFonts w:ascii="Arial" w:hAnsi="Arial" w:cs="Arial"/>
                <w:lang w:eastAsia="en-GB"/>
              </w:rPr>
            </w:pPr>
            <w:r w:rsidRPr="003E48E2">
              <w:rPr>
                <w:rFonts w:ascii="Arial" w:hAnsi="Arial" w:cs="Arial"/>
                <w:lang w:eastAsia="en-GB"/>
              </w:rPr>
              <w:t>Everything is on target / satisfactory progress is being made / no action required</w:t>
            </w:r>
          </w:p>
        </w:tc>
        <w:tc>
          <w:tcPr>
            <w:tcW w:w="4111" w:type="dxa"/>
            <w:vAlign w:val="center"/>
          </w:tcPr>
          <w:p w:rsidR="00C564E3" w:rsidP="00D54A76" w:rsidRDefault="00C564E3" w14:paraId="62FF5CC7" w14:textId="5548CB3A">
            <w:pPr>
              <w:spacing w:after="0" w:line="240" w:lineRule="auto"/>
              <w:rPr>
                <w:rFonts w:ascii="Arial" w:hAnsi="Arial" w:cs="Arial"/>
                <w:lang w:eastAsia="en-GB"/>
              </w:rPr>
            </w:pPr>
            <w:r>
              <w:rPr>
                <w:rFonts w:ascii="Arial" w:hAnsi="Arial" w:cs="Arial"/>
                <w:lang w:eastAsia="en-GB"/>
              </w:rPr>
              <w:t>On, or better than, target</w:t>
            </w:r>
          </w:p>
        </w:tc>
      </w:tr>
      <w:tr w:rsidRPr="003E48E2" w:rsidR="00C564E3" w:rsidTr="00FA587D" w14:paraId="3081C079" w14:textId="77777777">
        <w:trPr>
          <w:trHeight w:val="1108"/>
        </w:trPr>
        <w:tc>
          <w:tcPr>
            <w:tcW w:w="1100" w:type="dxa"/>
            <w:shd w:val="clear" w:color="auto" w:fill="FFC000"/>
            <w:vAlign w:val="center"/>
          </w:tcPr>
          <w:p w:rsidRPr="00C564E3" w:rsidR="00C564E3" w:rsidP="00C564E3" w:rsidRDefault="00C564E3" w14:paraId="22EE8F31" w14:textId="669CFEFC">
            <w:pPr>
              <w:spacing w:after="0"/>
              <w:jc w:val="center"/>
              <w:rPr>
                <w:rFonts w:ascii="Arial" w:hAnsi="Arial" w:cs="Arial"/>
                <w:b/>
                <w:lang w:eastAsia="en-GB"/>
              </w:rPr>
            </w:pPr>
            <w:r w:rsidRPr="00C564E3">
              <w:rPr>
                <w:rFonts w:ascii="Arial" w:hAnsi="Arial" w:cs="Arial"/>
                <w:b/>
                <w:lang w:eastAsia="en-GB"/>
              </w:rPr>
              <w:t>Amber</w:t>
            </w:r>
          </w:p>
        </w:tc>
        <w:tc>
          <w:tcPr>
            <w:tcW w:w="4363" w:type="dxa"/>
            <w:shd w:val="clear" w:color="auto" w:fill="auto"/>
            <w:vAlign w:val="center"/>
          </w:tcPr>
          <w:p w:rsidRPr="003E48E2" w:rsidR="00C564E3" w:rsidP="00D54A76" w:rsidRDefault="00C564E3" w14:paraId="34F80F83" w14:textId="52515BB7">
            <w:pPr>
              <w:spacing w:after="0" w:line="240" w:lineRule="auto"/>
              <w:rPr>
                <w:rFonts w:ascii="Arial" w:hAnsi="Arial" w:cs="Arial"/>
                <w:lang w:eastAsia="en-GB"/>
              </w:rPr>
            </w:pPr>
            <w:r w:rsidRPr="003E48E2">
              <w:rPr>
                <w:rFonts w:ascii="Arial" w:hAnsi="Arial" w:cs="Arial"/>
                <w:lang w:eastAsia="en-GB"/>
              </w:rPr>
              <w:t xml:space="preserve">There are </w:t>
            </w:r>
            <w:r w:rsidR="00384C94">
              <w:rPr>
                <w:rFonts w:ascii="Arial" w:hAnsi="Arial" w:cs="Arial"/>
                <w:lang w:eastAsia="en-GB"/>
              </w:rPr>
              <w:t xml:space="preserve">some </w:t>
            </w:r>
            <w:r w:rsidRPr="003E48E2">
              <w:rPr>
                <w:rFonts w:ascii="Arial" w:hAnsi="Arial" w:cs="Arial"/>
                <w:lang w:eastAsia="en-GB"/>
              </w:rPr>
              <w:t>concerns over achieving deadlines or outputs  / there are issues to rectify, but plans are in place to get the project back on track</w:t>
            </w:r>
          </w:p>
        </w:tc>
        <w:tc>
          <w:tcPr>
            <w:tcW w:w="4111" w:type="dxa"/>
            <w:vAlign w:val="center"/>
          </w:tcPr>
          <w:p w:rsidR="00C564E3" w:rsidP="00AB1FA7" w:rsidRDefault="008C0DF7" w14:paraId="2B77DDB9" w14:textId="32B46327">
            <w:pPr>
              <w:spacing w:after="0" w:line="240" w:lineRule="auto"/>
              <w:rPr>
                <w:rFonts w:ascii="Arial" w:hAnsi="Arial" w:cs="Arial"/>
                <w:lang w:eastAsia="en-GB"/>
              </w:rPr>
            </w:pPr>
            <w:r>
              <w:rPr>
                <w:rFonts w:ascii="Arial" w:hAnsi="Arial" w:cs="Arial"/>
                <w:lang w:eastAsia="en-GB"/>
              </w:rPr>
              <w:t>W</w:t>
            </w:r>
            <w:r w:rsidR="00C564E3">
              <w:rPr>
                <w:rFonts w:ascii="Arial" w:hAnsi="Arial" w:cs="Arial"/>
                <w:lang w:eastAsia="en-GB"/>
              </w:rPr>
              <w:t xml:space="preserve">orse than target </w:t>
            </w:r>
            <w:r>
              <w:rPr>
                <w:rFonts w:ascii="Arial" w:hAnsi="Arial" w:cs="Arial"/>
                <w:lang w:eastAsia="en-GB"/>
              </w:rPr>
              <w:t>(</w:t>
            </w:r>
            <w:r w:rsidRPr="008A4669">
              <w:rPr>
                <w:rFonts w:ascii="Arial" w:hAnsi="Arial" w:cs="Arial"/>
                <w:lang w:eastAsia="en-GB"/>
              </w:rPr>
              <w:t xml:space="preserve">up to </w:t>
            </w:r>
            <w:r w:rsidRPr="008A4669" w:rsidR="00AB1FA7">
              <w:rPr>
                <w:rFonts w:ascii="Arial" w:hAnsi="Arial" w:cs="Arial"/>
                <w:lang w:eastAsia="en-GB"/>
              </w:rPr>
              <w:t>1</w:t>
            </w:r>
            <w:r w:rsidRPr="008A4669">
              <w:rPr>
                <w:rFonts w:ascii="Arial" w:hAnsi="Arial" w:cs="Arial"/>
                <w:lang w:eastAsia="en-GB"/>
              </w:rPr>
              <w:t>0</w:t>
            </w:r>
            <w:r>
              <w:rPr>
                <w:rFonts w:ascii="Arial" w:hAnsi="Arial" w:cs="Arial"/>
                <w:lang w:eastAsia="en-GB"/>
              </w:rPr>
              <w:t>%</w:t>
            </w:r>
            <w:r w:rsidR="00515C58">
              <w:rPr>
                <w:rFonts w:ascii="Arial" w:hAnsi="Arial" w:cs="Arial"/>
                <w:lang w:eastAsia="en-GB"/>
              </w:rPr>
              <w:t xml:space="preserve"> variance</w:t>
            </w:r>
            <w:r>
              <w:rPr>
                <w:rFonts w:ascii="Arial" w:hAnsi="Arial" w:cs="Arial"/>
                <w:lang w:eastAsia="en-GB"/>
              </w:rPr>
              <w:t xml:space="preserve">) </w:t>
            </w:r>
            <w:r w:rsidR="00C564E3">
              <w:rPr>
                <w:rFonts w:ascii="Arial" w:hAnsi="Arial" w:cs="Arial"/>
                <w:lang w:eastAsia="en-GB"/>
              </w:rPr>
              <w:t xml:space="preserve">- some action </w:t>
            </w:r>
            <w:r w:rsidR="00844AB7">
              <w:rPr>
                <w:rFonts w:ascii="Arial" w:hAnsi="Arial" w:cs="Arial"/>
                <w:lang w:eastAsia="en-GB"/>
              </w:rPr>
              <w:t xml:space="preserve">may be </w:t>
            </w:r>
            <w:r w:rsidR="00C564E3">
              <w:rPr>
                <w:rFonts w:ascii="Arial" w:hAnsi="Arial" w:cs="Arial"/>
                <w:lang w:eastAsia="en-GB"/>
              </w:rPr>
              <w:t>required to improve performance</w:t>
            </w:r>
          </w:p>
        </w:tc>
      </w:tr>
      <w:tr w:rsidRPr="003E48E2" w:rsidR="00C564E3" w:rsidTr="00384C94" w14:paraId="06367B3E" w14:textId="77777777">
        <w:trPr>
          <w:trHeight w:val="1124"/>
        </w:trPr>
        <w:tc>
          <w:tcPr>
            <w:tcW w:w="1100" w:type="dxa"/>
            <w:shd w:val="clear" w:color="auto" w:fill="C00000"/>
            <w:vAlign w:val="center"/>
          </w:tcPr>
          <w:p w:rsidRPr="00C564E3" w:rsidR="00C564E3" w:rsidP="00C564E3" w:rsidRDefault="00C564E3" w14:paraId="28CF9C75" w14:textId="77777777">
            <w:pPr>
              <w:spacing w:after="0"/>
              <w:jc w:val="center"/>
              <w:rPr>
                <w:rFonts w:ascii="Arial" w:hAnsi="Arial" w:cs="Arial"/>
                <w:b/>
                <w:lang w:eastAsia="en-GB"/>
              </w:rPr>
            </w:pPr>
            <w:r w:rsidRPr="00FE6643">
              <w:rPr>
                <w:rFonts w:ascii="Arial" w:hAnsi="Arial" w:cs="Arial"/>
                <w:b/>
                <w:color w:val="000000" w:themeColor="text1"/>
                <w:lang w:eastAsia="en-GB"/>
              </w:rPr>
              <w:t>Red</w:t>
            </w:r>
          </w:p>
        </w:tc>
        <w:tc>
          <w:tcPr>
            <w:tcW w:w="4363" w:type="dxa"/>
            <w:shd w:val="clear" w:color="auto" w:fill="auto"/>
            <w:vAlign w:val="center"/>
          </w:tcPr>
          <w:p w:rsidRPr="003E48E2" w:rsidR="00C564E3" w:rsidP="00D54A76" w:rsidRDefault="00384C94" w14:paraId="3FB1F8EA" w14:textId="68F2BB4C">
            <w:pPr>
              <w:spacing w:after="0" w:line="240" w:lineRule="auto"/>
              <w:rPr>
                <w:rFonts w:ascii="Arial" w:hAnsi="Arial" w:cs="Arial"/>
                <w:lang w:eastAsia="en-GB"/>
              </w:rPr>
            </w:pPr>
            <w:r>
              <w:rPr>
                <w:rFonts w:ascii="Arial" w:hAnsi="Arial" w:cs="Arial"/>
                <w:lang w:eastAsia="en-GB"/>
              </w:rPr>
              <w:t>There are significant</w:t>
            </w:r>
            <w:r w:rsidRPr="003E48E2" w:rsidR="00C564E3">
              <w:rPr>
                <w:rFonts w:ascii="Arial" w:hAnsi="Arial" w:cs="Arial"/>
                <w:lang w:eastAsia="en-GB"/>
              </w:rPr>
              <w:t xml:space="preserve"> concerns over achieving outputs / there is serious slippage in the timetable / there are major issues to rectify</w:t>
            </w:r>
          </w:p>
        </w:tc>
        <w:tc>
          <w:tcPr>
            <w:tcW w:w="4111" w:type="dxa"/>
            <w:vAlign w:val="center"/>
          </w:tcPr>
          <w:p w:rsidRPr="003E48E2" w:rsidR="00C564E3" w:rsidP="00844AB7" w:rsidRDefault="00C564E3" w14:paraId="29A6FCA1" w14:textId="2B240529">
            <w:pPr>
              <w:spacing w:after="0" w:line="240" w:lineRule="auto"/>
              <w:rPr>
                <w:rFonts w:ascii="Arial" w:hAnsi="Arial" w:cs="Arial"/>
                <w:lang w:eastAsia="en-GB"/>
              </w:rPr>
            </w:pPr>
            <w:r>
              <w:rPr>
                <w:rFonts w:ascii="Arial" w:hAnsi="Arial" w:cs="Arial"/>
                <w:lang w:eastAsia="en-GB"/>
              </w:rPr>
              <w:t xml:space="preserve">Significantly worse than target </w:t>
            </w:r>
            <w:r w:rsidRPr="008A4669">
              <w:rPr>
                <w:rFonts w:ascii="Arial" w:hAnsi="Arial" w:cs="Arial"/>
                <w:lang w:eastAsia="en-GB"/>
              </w:rPr>
              <w:t>(&gt;</w:t>
            </w:r>
            <w:r w:rsidRPr="008A4669" w:rsidR="00AB1FA7">
              <w:rPr>
                <w:rFonts w:ascii="Arial" w:hAnsi="Arial" w:cs="Arial"/>
                <w:lang w:eastAsia="en-GB"/>
              </w:rPr>
              <w:t>1</w:t>
            </w:r>
            <w:r w:rsidRPr="008A4669">
              <w:rPr>
                <w:rFonts w:ascii="Arial" w:hAnsi="Arial" w:cs="Arial"/>
                <w:lang w:eastAsia="en-GB"/>
              </w:rPr>
              <w:t>0</w:t>
            </w:r>
            <w:r>
              <w:rPr>
                <w:rFonts w:ascii="Arial" w:hAnsi="Arial" w:cs="Arial"/>
                <w:lang w:eastAsia="en-GB"/>
              </w:rPr>
              <w:t>%</w:t>
            </w:r>
            <w:r w:rsidR="00515C58">
              <w:rPr>
                <w:rFonts w:ascii="Arial" w:hAnsi="Arial" w:cs="Arial"/>
                <w:lang w:eastAsia="en-GB"/>
              </w:rPr>
              <w:t xml:space="preserve"> variance</w:t>
            </w:r>
            <w:r>
              <w:rPr>
                <w:rFonts w:ascii="Arial" w:hAnsi="Arial" w:cs="Arial"/>
                <w:lang w:eastAsia="en-GB"/>
              </w:rPr>
              <w:t>) –</w:t>
            </w:r>
            <w:r w:rsidR="00844AB7">
              <w:rPr>
                <w:rFonts w:ascii="Arial" w:hAnsi="Arial" w:cs="Arial"/>
                <w:lang w:eastAsia="en-GB"/>
              </w:rPr>
              <w:t xml:space="preserve"> </w:t>
            </w:r>
            <w:r>
              <w:rPr>
                <w:rFonts w:ascii="Arial" w:hAnsi="Arial" w:cs="Arial"/>
                <w:lang w:eastAsia="en-GB"/>
              </w:rPr>
              <w:t>action required to improve performance</w:t>
            </w:r>
          </w:p>
        </w:tc>
      </w:tr>
    </w:tbl>
    <w:p w:rsidR="00C564E3" w:rsidP="007D3C37" w:rsidRDefault="00C564E3" w14:paraId="005EE705" w14:textId="77777777">
      <w:pPr>
        <w:spacing w:after="0" w:line="240" w:lineRule="auto"/>
        <w:ind w:left="-360" w:right="-806"/>
        <w:rPr>
          <w:rFonts w:ascii="Arial" w:hAnsi="Arial" w:cs="Arial"/>
          <w:b/>
          <w:color w:val="4472C4" w:themeColor="accent5"/>
          <w:sz w:val="36"/>
          <w:szCs w:val="24"/>
        </w:rPr>
      </w:pPr>
    </w:p>
    <w:p w:rsidR="00C564E3" w:rsidP="007D3C37" w:rsidRDefault="00C564E3" w14:paraId="64DA7CFA" w14:textId="77777777">
      <w:pPr>
        <w:spacing w:after="0" w:line="240" w:lineRule="auto"/>
        <w:ind w:left="-360" w:right="-806"/>
        <w:rPr>
          <w:rFonts w:ascii="Arial" w:hAnsi="Arial" w:cs="Arial"/>
          <w:b/>
          <w:color w:val="4472C4" w:themeColor="accent5"/>
          <w:sz w:val="36"/>
          <w:szCs w:val="24"/>
        </w:rPr>
      </w:pPr>
    </w:p>
    <w:p w:rsidR="00C564E3" w:rsidP="007D3C37" w:rsidRDefault="00C564E3" w14:paraId="19E206DC" w14:textId="77777777">
      <w:pPr>
        <w:spacing w:after="0" w:line="240" w:lineRule="auto"/>
        <w:ind w:left="-360" w:right="-806"/>
        <w:rPr>
          <w:rFonts w:ascii="Arial" w:hAnsi="Arial" w:cs="Arial"/>
          <w:b/>
          <w:color w:val="4472C4" w:themeColor="accent5"/>
          <w:sz w:val="36"/>
          <w:szCs w:val="24"/>
        </w:rPr>
      </w:pPr>
    </w:p>
    <w:p w:rsidR="00C564E3" w:rsidP="007D3C37" w:rsidRDefault="00C564E3" w14:paraId="763F0E38" w14:textId="33583697">
      <w:pPr>
        <w:spacing w:after="0" w:line="240" w:lineRule="auto"/>
        <w:ind w:left="-360" w:right="-806"/>
        <w:rPr>
          <w:rFonts w:ascii="Arial" w:hAnsi="Arial" w:cs="Arial"/>
          <w:b/>
          <w:color w:val="4472C4" w:themeColor="accent5"/>
          <w:sz w:val="36"/>
          <w:szCs w:val="24"/>
        </w:rPr>
      </w:pPr>
    </w:p>
    <w:p w:rsidR="00C564E3" w:rsidP="007D3C37" w:rsidRDefault="00C564E3" w14:paraId="5FE01A27" w14:textId="77777777">
      <w:pPr>
        <w:spacing w:after="0" w:line="240" w:lineRule="auto"/>
        <w:ind w:left="-360" w:right="-806"/>
        <w:rPr>
          <w:rFonts w:ascii="Arial" w:hAnsi="Arial" w:cs="Arial"/>
          <w:b/>
          <w:color w:val="4472C4" w:themeColor="accent5"/>
          <w:sz w:val="36"/>
          <w:szCs w:val="24"/>
        </w:rPr>
      </w:pPr>
    </w:p>
    <w:p w:rsidR="00C564E3" w:rsidP="007D3C37" w:rsidRDefault="00C564E3" w14:paraId="1ED725D8" w14:textId="77777777">
      <w:pPr>
        <w:spacing w:after="0" w:line="240" w:lineRule="auto"/>
        <w:ind w:left="-360" w:right="-806"/>
        <w:rPr>
          <w:rFonts w:ascii="Arial" w:hAnsi="Arial" w:cs="Arial"/>
          <w:b/>
          <w:color w:val="4472C4" w:themeColor="accent5"/>
          <w:sz w:val="36"/>
          <w:szCs w:val="24"/>
        </w:rPr>
      </w:pPr>
    </w:p>
    <w:p w:rsidR="00C564E3" w:rsidP="007D3C37" w:rsidRDefault="00C564E3" w14:paraId="520D2F8E" w14:textId="77777777">
      <w:pPr>
        <w:spacing w:after="0" w:line="240" w:lineRule="auto"/>
        <w:ind w:left="-360" w:right="-806"/>
        <w:rPr>
          <w:rFonts w:ascii="Arial" w:hAnsi="Arial" w:cs="Arial"/>
          <w:b/>
          <w:color w:val="4472C4" w:themeColor="accent5"/>
          <w:sz w:val="36"/>
          <w:szCs w:val="24"/>
        </w:rPr>
      </w:pPr>
    </w:p>
    <w:p w:rsidRPr="00524760" w:rsidR="00524760" w:rsidP="007D3C37" w:rsidRDefault="00524760" w14:paraId="5EBA5A39" w14:textId="127763DC">
      <w:pPr>
        <w:spacing w:after="0" w:line="240" w:lineRule="auto"/>
        <w:ind w:left="-360" w:right="-806"/>
        <w:rPr>
          <w:rFonts w:ascii="Arial" w:hAnsi="Arial" w:cs="Arial"/>
          <w:b/>
          <w:color w:val="4472C4" w:themeColor="accent5"/>
          <w:sz w:val="36"/>
          <w:szCs w:val="24"/>
        </w:rPr>
      </w:pPr>
      <w:r w:rsidRPr="00524760">
        <w:rPr>
          <w:rFonts w:ascii="Arial" w:hAnsi="Arial" w:cs="Arial"/>
          <w:b/>
          <w:color w:val="4472C4" w:themeColor="accent5"/>
          <w:sz w:val="36"/>
          <w:szCs w:val="24"/>
        </w:rPr>
        <w:t>Appendices</w:t>
      </w:r>
    </w:p>
    <w:p w:rsidR="00524760" w:rsidP="007D3C37" w:rsidRDefault="00524760" w14:paraId="3B2B981D" w14:textId="77777777">
      <w:pPr>
        <w:spacing w:after="0" w:line="240" w:lineRule="auto"/>
        <w:ind w:left="-360" w:right="-806"/>
        <w:rPr>
          <w:rFonts w:ascii="Arial" w:hAnsi="Arial" w:cs="Arial"/>
          <w:sz w:val="24"/>
          <w:szCs w:val="24"/>
        </w:rPr>
      </w:pPr>
    </w:p>
    <w:p w:rsidRPr="00524760" w:rsidR="00524760" w:rsidP="00524760" w:rsidRDefault="00524760" w14:paraId="7AF595F8" w14:textId="0A21564E">
      <w:pPr>
        <w:pStyle w:val="ListParagraph"/>
        <w:numPr>
          <w:ilvl w:val="0"/>
          <w:numId w:val="5"/>
        </w:numPr>
        <w:spacing w:after="120" w:line="240" w:lineRule="auto"/>
        <w:ind w:right="-806"/>
        <w:contextualSpacing w:val="0"/>
        <w:rPr>
          <w:rFonts w:ascii="Arial" w:hAnsi="Arial" w:cs="Arial"/>
          <w:b/>
          <w:sz w:val="28"/>
          <w:szCs w:val="24"/>
        </w:rPr>
      </w:pPr>
      <w:r w:rsidRPr="00524760">
        <w:rPr>
          <w:rFonts w:ascii="Arial" w:hAnsi="Arial" w:cs="Arial"/>
          <w:b/>
          <w:sz w:val="28"/>
          <w:szCs w:val="24"/>
        </w:rPr>
        <w:t>Key projects/activities</w:t>
      </w:r>
    </w:p>
    <w:p w:rsidRPr="00524760" w:rsidR="00524760" w:rsidP="00524760" w:rsidRDefault="00524760" w14:paraId="330962D5" w14:textId="27E58256">
      <w:pPr>
        <w:pStyle w:val="ListParagraph"/>
        <w:numPr>
          <w:ilvl w:val="0"/>
          <w:numId w:val="5"/>
        </w:numPr>
        <w:spacing w:after="120" w:line="240" w:lineRule="auto"/>
        <w:ind w:right="-806"/>
        <w:contextualSpacing w:val="0"/>
        <w:rPr>
          <w:rFonts w:ascii="Arial" w:hAnsi="Arial" w:cs="Arial"/>
          <w:b/>
          <w:sz w:val="28"/>
          <w:szCs w:val="24"/>
        </w:rPr>
      </w:pPr>
      <w:r w:rsidRPr="00524760">
        <w:rPr>
          <w:rFonts w:ascii="Arial" w:hAnsi="Arial" w:cs="Arial"/>
          <w:b/>
          <w:sz w:val="28"/>
          <w:szCs w:val="24"/>
        </w:rPr>
        <w:t>Key performance measures</w:t>
      </w:r>
    </w:p>
    <w:p w:rsidR="00FA1B5D" w:rsidP="00870308" w:rsidRDefault="00B73572" w14:paraId="41CED349" w14:textId="6508F107">
      <w:pPr>
        <w:pStyle w:val="ListParagraph"/>
        <w:numPr>
          <w:ilvl w:val="0"/>
          <w:numId w:val="5"/>
        </w:numPr>
        <w:spacing w:after="120" w:line="240" w:lineRule="auto"/>
        <w:ind w:right="-806"/>
        <w:contextualSpacing w:val="0"/>
        <w:rPr>
          <w:rFonts w:ascii="Arial" w:hAnsi="Arial" w:cs="Arial"/>
          <w:b/>
          <w:sz w:val="28"/>
          <w:szCs w:val="24"/>
        </w:rPr>
      </w:pPr>
      <w:r w:rsidRPr="00524760">
        <w:rPr>
          <w:rFonts w:ascii="Arial" w:hAnsi="Arial" w:cs="Arial"/>
          <w:b/>
          <w:sz w:val="28"/>
          <w:szCs w:val="24"/>
        </w:rPr>
        <w:t>Key corporate risks</w:t>
      </w:r>
    </w:p>
    <w:p w:rsidRPr="00870308" w:rsidR="008B6466" w:rsidP="00870308" w:rsidRDefault="008B6466" w14:paraId="2313793A" w14:textId="5F6D8B6E">
      <w:pPr>
        <w:pStyle w:val="ListParagraph"/>
        <w:numPr>
          <w:ilvl w:val="0"/>
          <w:numId w:val="5"/>
        </w:numPr>
        <w:spacing w:after="120" w:line="240" w:lineRule="auto"/>
        <w:ind w:right="-806"/>
        <w:contextualSpacing w:val="0"/>
        <w:rPr>
          <w:rFonts w:ascii="Arial" w:hAnsi="Arial" w:cs="Arial"/>
          <w:b/>
          <w:sz w:val="28"/>
          <w:szCs w:val="24"/>
        </w:rPr>
      </w:pPr>
      <w:r>
        <w:rPr>
          <w:rFonts w:ascii="Arial" w:hAnsi="Arial" w:cs="Arial"/>
          <w:b/>
          <w:sz w:val="28"/>
          <w:szCs w:val="24"/>
        </w:rPr>
        <w:t>Outcome measures</w:t>
      </w:r>
    </w:p>
    <w:sectPr w:rsidRPr="00870308" w:rsidR="008B6466" w:rsidSect="00E74EDE">
      <w:headerReference w:type="even" r:id="rId10"/>
      <w:headerReference w:type="default" r:id="rId11"/>
      <w:footerReference w:type="even" r:id="rId12"/>
      <w:footerReference w:type="default" r:id="rId13"/>
      <w:headerReference w:type="first" r:id="rId14"/>
      <w:footerReference w:type="first" r:id="rId15"/>
      <w:pgSz w:w="11907" w:h="16839" w:orient="portrait" w:code="9"/>
      <w:pgMar w:top="1170" w:right="1440" w:bottom="851" w:left="1418" w:header="720" w:footer="4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AF6" w:rsidP="00B80396" w:rsidRDefault="00E66AF6" w14:paraId="461E8F18" w14:textId="77777777">
      <w:pPr>
        <w:spacing w:after="0" w:line="240" w:lineRule="auto"/>
      </w:pPr>
      <w:r>
        <w:separator/>
      </w:r>
    </w:p>
  </w:endnote>
  <w:endnote w:type="continuationSeparator" w:id="0">
    <w:p w:rsidR="00E66AF6" w:rsidP="00B80396" w:rsidRDefault="00E66AF6" w14:paraId="381336B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6" w:rsidRDefault="00E66AF6" w14:paraId="72F8DE2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7373834"/>
      <w:docPartObj>
        <w:docPartGallery w:val="Page Numbers (Bottom of Page)"/>
        <w:docPartUnique/>
      </w:docPartObj>
    </w:sdtPr>
    <w:sdtEndPr>
      <w:rPr>
        <w:rFonts w:ascii="Arial" w:hAnsi="Arial" w:cs="Arial"/>
        <w:noProof/>
        <w:color w:val="000000" w:themeColor="text1"/>
        <w:sz w:val="20"/>
      </w:rPr>
    </w:sdtEndPr>
    <w:sdtContent>
      <w:p w:rsidRPr="000E23D1" w:rsidR="00E66AF6" w:rsidRDefault="00E66AF6" w14:paraId="6B0DED3F" w14:textId="3098DFA9">
        <w:pPr>
          <w:pStyle w:val="Footer"/>
          <w:jc w:val="right"/>
          <w:rPr>
            <w:rFonts w:ascii="Arial" w:hAnsi="Arial" w:cs="Arial"/>
            <w:color w:val="000000" w:themeColor="text1"/>
            <w:sz w:val="20"/>
          </w:rPr>
        </w:pPr>
        <w:r w:rsidRPr="000E23D1">
          <w:rPr>
            <w:rFonts w:ascii="Arial" w:hAnsi="Arial" w:cs="Arial"/>
            <w:color w:val="000000" w:themeColor="text1"/>
            <w:sz w:val="20"/>
          </w:rPr>
          <w:fldChar w:fldCharType="begin"/>
        </w:r>
        <w:r w:rsidRPr="000E23D1">
          <w:rPr>
            <w:rFonts w:ascii="Arial" w:hAnsi="Arial" w:cs="Arial"/>
            <w:color w:val="000000" w:themeColor="text1"/>
            <w:sz w:val="20"/>
          </w:rPr>
          <w:instrText xml:space="preserve"> PAGE   \* MERGEFORMAT </w:instrText>
        </w:r>
        <w:r w:rsidRPr="000E23D1">
          <w:rPr>
            <w:rFonts w:ascii="Arial" w:hAnsi="Arial" w:cs="Arial"/>
            <w:color w:val="000000" w:themeColor="text1"/>
            <w:sz w:val="20"/>
          </w:rPr>
          <w:fldChar w:fldCharType="separate"/>
        </w:r>
        <w:r w:rsidR="00384C94">
          <w:rPr>
            <w:rFonts w:ascii="Arial" w:hAnsi="Arial" w:cs="Arial"/>
            <w:noProof/>
            <w:color w:val="000000" w:themeColor="text1"/>
            <w:sz w:val="20"/>
          </w:rPr>
          <w:t>2</w:t>
        </w:r>
        <w:r w:rsidRPr="000E23D1">
          <w:rPr>
            <w:rFonts w:ascii="Arial" w:hAnsi="Arial" w:cs="Arial"/>
            <w:noProof/>
            <w:color w:val="000000" w:themeColor="text1"/>
            <w:sz w:val="20"/>
          </w:rPr>
          <w:fldChar w:fldCharType="end"/>
        </w:r>
      </w:p>
    </w:sdtContent>
  </w:sdt>
  <w:p w:rsidR="00E66AF6" w:rsidRDefault="00E66AF6" w14:paraId="7FD18C8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6" w:rsidRDefault="00E66AF6" w14:paraId="60AEE9D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AF6" w:rsidP="00B80396" w:rsidRDefault="00E66AF6" w14:paraId="5D58D3F8" w14:textId="77777777">
      <w:pPr>
        <w:spacing w:after="0" w:line="240" w:lineRule="auto"/>
      </w:pPr>
      <w:r>
        <w:separator/>
      </w:r>
    </w:p>
  </w:footnote>
  <w:footnote w:type="continuationSeparator" w:id="0">
    <w:p w:rsidR="00E66AF6" w:rsidP="00B80396" w:rsidRDefault="00E66AF6" w14:paraId="0B3536E1" w14:textId="77777777">
      <w:pPr>
        <w:spacing w:after="0" w:line="240" w:lineRule="auto"/>
      </w:pPr>
      <w:r>
        <w:continuationSeparator/>
      </w:r>
    </w:p>
  </w:footnote>
  <w:footnote w:id="1">
    <w:p w:rsidRPr="00B80396" w:rsidR="00E66AF6" w:rsidP="00F04B58" w:rsidRDefault="00E66AF6" w14:paraId="235B28C6" w14:textId="749F8B8C">
      <w:pPr>
        <w:pStyle w:val="FootnoteText"/>
        <w:ind w:left="-360" w:right="-720"/>
        <w:rPr>
          <w:rFonts w:ascii="Arial" w:hAnsi="Arial" w:cs="Arial"/>
        </w:rPr>
      </w:pPr>
      <w:r w:rsidRPr="00B80396">
        <w:rPr>
          <w:rStyle w:val="FootnoteReference"/>
          <w:rFonts w:ascii="Arial" w:hAnsi="Arial" w:cs="Arial"/>
        </w:rPr>
        <w:footnoteRef/>
      </w:r>
      <w:r w:rsidRPr="00B80396">
        <w:rPr>
          <w:rFonts w:ascii="Arial" w:hAnsi="Arial" w:cs="Arial"/>
        </w:rPr>
        <w:t xml:space="preserve"> These are</w:t>
      </w:r>
      <w:r>
        <w:rPr>
          <w:rFonts w:ascii="Arial" w:hAnsi="Arial" w:cs="Arial"/>
        </w:rPr>
        <w:t xml:space="preserve"> mainly </w:t>
      </w:r>
      <w:r w:rsidRPr="00B80396">
        <w:rPr>
          <w:rFonts w:ascii="Arial" w:hAnsi="Arial" w:cs="Arial"/>
        </w:rPr>
        <w:t>wider contextual measures, such as health or employment figures published by other organisations</w:t>
      </w:r>
      <w:r>
        <w:rPr>
          <w:rFonts w:ascii="Arial" w:hAnsi="Arial" w:cs="Arial"/>
        </w:rPr>
        <w:t>.  Our work will have an influence on these, but they are not directly related to our service provision and they will therefore not be attributed with a RAG rating.</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6" w:rsidRDefault="00E66AF6" w14:paraId="78E962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6" w:rsidRDefault="00E66AF6" w14:paraId="716C2947" w14:textId="2935F4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F6" w:rsidRDefault="00E66AF6" w14:paraId="51D69B09"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752"/>
    <w:multiLevelType w:val="hybridMultilevel"/>
    <w:tmpl w:val="3CFC1374"/>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1" w15:restartNumberingAfterBreak="0">
    <w:nsid w:val="02C31EF3"/>
    <w:multiLevelType w:val="hybridMultilevel"/>
    <w:tmpl w:val="19EA69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62C67D7"/>
    <w:multiLevelType w:val="hybridMultilevel"/>
    <w:tmpl w:val="DEEEE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76E41C4"/>
    <w:multiLevelType w:val="hybridMultilevel"/>
    <w:tmpl w:val="5C0E03DE"/>
    <w:lvl w:ilvl="0" w:tplc="E16EFA84">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C9E4C91"/>
    <w:multiLevelType w:val="hybridMultilevel"/>
    <w:tmpl w:val="1BB44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0CB93DD7"/>
    <w:multiLevelType w:val="hybridMultilevel"/>
    <w:tmpl w:val="35822810"/>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6" w15:restartNumberingAfterBreak="0">
    <w:nsid w:val="0D563F41"/>
    <w:multiLevelType w:val="hybridMultilevel"/>
    <w:tmpl w:val="A3FEB9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10A65FF4"/>
    <w:multiLevelType w:val="hybridMultilevel"/>
    <w:tmpl w:val="CB7007BA"/>
    <w:lvl w:ilvl="0" w:tplc="08090001">
      <w:start w:val="1"/>
      <w:numFmt w:val="bullet"/>
      <w:lvlText w:val=""/>
      <w:lvlJc w:val="left"/>
      <w:pPr>
        <w:ind w:left="688" w:hanging="360"/>
      </w:pPr>
      <w:rPr>
        <w:rFonts w:hint="default" w:ascii="Symbol" w:hAnsi="Symbol"/>
      </w:rPr>
    </w:lvl>
    <w:lvl w:ilvl="1" w:tplc="08090003" w:tentative="1">
      <w:start w:val="1"/>
      <w:numFmt w:val="bullet"/>
      <w:lvlText w:val="o"/>
      <w:lvlJc w:val="left"/>
      <w:pPr>
        <w:ind w:left="1408" w:hanging="360"/>
      </w:pPr>
      <w:rPr>
        <w:rFonts w:hint="default" w:ascii="Courier New" w:hAnsi="Courier New" w:cs="Courier New"/>
      </w:rPr>
    </w:lvl>
    <w:lvl w:ilvl="2" w:tplc="08090005" w:tentative="1">
      <w:start w:val="1"/>
      <w:numFmt w:val="bullet"/>
      <w:lvlText w:val=""/>
      <w:lvlJc w:val="left"/>
      <w:pPr>
        <w:ind w:left="2128" w:hanging="360"/>
      </w:pPr>
      <w:rPr>
        <w:rFonts w:hint="default" w:ascii="Wingdings" w:hAnsi="Wingdings"/>
      </w:rPr>
    </w:lvl>
    <w:lvl w:ilvl="3" w:tplc="08090001" w:tentative="1">
      <w:start w:val="1"/>
      <w:numFmt w:val="bullet"/>
      <w:lvlText w:val=""/>
      <w:lvlJc w:val="left"/>
      <w:pPr>
        <w:ind w:left="2848" w:hanging="360"/>
      </w:pPr>
      <w:rPr>
        <w:rFonts w:hint="default" w:ascii="Symbol" w:hAnsi="Symbol"/>
      </w:rPr>
    </w:lvl>
    <w:lvl w:ilvl="4" w:tplc="08090003" w:tentative="1">
      <w:start w:val="1"/>
      <w:numFmt w:val="bullet"/>
      <w:lvlText w:val="o"/>
      <w:lvlJc w:val="left"/>
      <w:pPr>
        <w:ind w:left="3568" w:hanging="360"/>
      </w:pPr>
      <w:rPr>
        <w:rFonts w:hint="default" w:ascii="Courier New" w:hAnsi="Courier New" w:cs="Courier New"/>
      </w:rPr>
    </w:lvl>
    <w:lvl w:ilvl="5" w:tplc="08090005" w:tentative="1">
      <w:start w:val="1"/>
      <w:numFmt w:val="bullet"/>
      <w:lvlText w:val=""/>
      <w:lvlJc w:val="left"/>
      <w:pPr>
        <w:ind w:left="4288" w:hanging="360"/>
      </w:pPr>
      <w:rPr>
        <w:rFonts w:hint="default" w:ascii="Wingdings" w:hAnsi="Wingdings"/>
      </w:rPr>
    </w:lvl>
    <w:lvl w:ilvl="6" w:tplc="08090001" w:tentative="1">
      <w:start w:val="1"/>
      <w:numFmt w:val="bullet"/>
      <w:lvlText w:val=""/>
      <w:lvlJc w:val="left"/>
      <w:pPr>
        <w:ind w:left="5008" w:hanging="360"/>
      </w:pPr>
      <w:rPr>
        <w:rFonts w:hint="default" w:ascii="Symbol" w:hAnsi="Symbol"/>
      </w:rPr>
    </w:lvl>
    <w:lvl w:ilvl="7" w:tplc="08090003" w:tentative="1">
      <w:start w:val="1"/>
      <w:numFmt w:val="bullet"/>
      <w:lvlText w:val="o"/>
      <w:lvlJc w:val="left"/>
      <w:pPr>
        <w:ind w:left="5728" w:hanging="360"/>
      </w:pPr>
      <w:rPr>
        <w:rFonts w:hint="default" w:ascii="Courier New" w:hAnsi="Courier New" w:cs="Courier New"/>
      </w:rPr>
    </w:lvl>
    <w:lvl w:ilvl="8" w:tplc="08090005" w:tentative="1">
      <w:start w:val="1"/>
      <w:numFmt w:val="bullet"/>
      <w:lvlText w:val=""/>
      <w:lvlJc w:val="left"/>
      <w:pPr>
        <w:ind w:left="6448" w:hanging="360"/>
      </w:pPr>
      <w:rPr>
        <w:rFonts w:hint="default" w:ascii="Wingdings" w:hAnsi="Wingdings"/>
      </w:rPr>
    </w:lvl>
  </w:abstractNum>
  <w:abstractNum w:abstractNumId="8" w15:restartNumberingAfterBreak="0">
    <w:nsid w:val="14900EDB"/>
    <w:multiLevelType w:val="hybridMultilevel"/>
    <w:tmpl w:val="2D1AC674"/>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9" w15:restartNumberingAfterBreak="0">
    <w:nsid w:val="1AA02AC9"/>
    <w:multiLevelType w:val="hybridMultilevel"/>
    <w:tmpl w:val="264809D6"/>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CF50EE8"/>
    <w:multiLevelType w:val="hybridMultilevel"/>
    <w:tmpl w:val="7460F1D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1FA82EFD"/>
    <w:multiLevelType w:val="hybridMultilevel"/>
    <w:tmpl w:val="0A56C26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236046EA"/>
    <w:multiLevelType w:val="hybridMultilevel"/>
    <w:tmpl w:val="DDD6ED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3" w15:restartNumberingAfterBreak="0">
    <w:nsid w:val="239D76B3"/>
    <w:multiLevelType w:val="hybridMultilevel"/>
    <w:tmpl w:val="2474BA8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3BC0D3A"/>
    <w:multiLevelType w:val="hybridMultilevel"/>
    <w:tmpl w:val="2AFA2D1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27274FE2"/>
    <w:multiLevelType w:val="hybridMultilevel"/>
    <w:tmpl w:val="CF0C7986"/>
    <w:lvl w:ilvl="0" w:tplc="08090001">
      <w:start w:val="1"/>
      <w:numFmt w:val="bullet"/>
      <w:lvlText w:val=""/>
      <w:lvlJc w:val="left"/>
      <w:pPr>
        <w:ind w:left="688" w:hanging="360"/>
      </w:pPr>
      <w:rPr>
        <w:rFonts w:hint="default" w:ascii="Symbol" w:hAnsi="Symbol"/>
      </w:rPr>
    </w:lvl>
    <w:lvl w:ilvl="1" w:tplc="08090003" w:tentative="1">
      <w:start w:val="1"/>
      <w:numFmt w:val="bullet"/>
      <w:lvlText w:val="o"/>
      <w:lvlJc w:val="left"/>
      <w:pPr>
        <w:ind w:left="1408" w:hanging="360"/>
      </w:pPr>
      <w:rPr>
        <w:rFonts w:hint="default" w:ascii="Courier New" w:hAnsi="Courier New" w:cs="Courier New"/>
      </w:rPr>
    </w:lvl>
    <w:lvl w:ilvl="2" w:tplc="08090005" w:tentative="1">
      <w:start w:val="1"/>
      <w:numFmt w:val="bullet"/>
      <w:lvlText w:val=""/>
      <w:lvlJc w:val="left"/>
      <w:pPr>
        <w:ind w:left="2128" w:hanging="360"/>
      </w:pPr>
      <w:rPr>
        <w:rFonts w:hint="default" w:ascii="Wingdings" w:hAnsi="Wingdings"/>
      </w:rPr>
    </w:lvl>
    <w:lvl w:ilvl="3" w:tplc="08090001" w:tentative="1">
      <w:start w:val="1"/>
      <w:numFmt w:val="bullet"/>
      <w:lvlText w:val=""/>
      <w:lvlJc w:val="left"/>
      <w:pPr>
        <w:ind w:left="2848" w:hanging="360"/>
      </w:pPr>
      <w:rPr>
        <w:rFonts w:hint="default" w:ascii="Symbol" w:hAnsi="Symbol"/>
      </w:rPr>
    </w:lvl>
    <w:lvl w:ilvl="4" w:tplc="08090003" w:tentative="1">
      <w:start w:val="1"/>
      <w:numFmt w:val="bullet"/>
      <w:lvlText w:val="o"/>
      <w:lvlJc w:val="left"/>
      <w:pPr>
        <w:ind w:left="3568" w:hanging="360"/>
      </w:pPr>
      <w:rPr>
        <w:rFonts w:hint="default" w:ascii="Courier New" w:hAnsi="Courier New" w:cs="Courier New"/>
      </w:rPr>
    </w:lvl>
    <w:lvl w:ilvl="5" w:tplc="08090005" w:tentative="1">
      <w:start w:val="1"/>
      <w:numFmt w:val="bullet"/>
      <w:lvlText w:val=""/>
      <w:lvlJc w:val="left"/>
      <w:pPr>
        <w:ind w:left="4288" w:hanging="360"/>
      </w:pPr>
      <w:rPr>
        <w:rFonts w:hint="default" w:ascii="Wingdings" w:hAnsi="Wingdings"/>
      </w:rPr>
    </w:lvl>
    <w:lvl w:ilvl="6" w:tplc="08090001" w:tentative="1">
      <w:start w:val="1"/>
      <w:numFmt w:val="bullet"/>
      <w:lvlText w:val=""/>
      <w:lvlJc w:val="left"/>
      <w:pPr>
        <w:ind w:left="5008" w:hanging="360"/>
      </w:pPr>
      <w:rPr>
        <w:rFonts w:hint="default" w:ascii="Symbol" w:hAnsi="Symbol"/>
      </w:rPr>
    </w:lvl>
    <w:lvl w:ilvl="7" w:tplc="08090003" w:tentative="1">
      <w:start w:val="1"/>
      <w:numFmt w:val="bullet"/>
      <w:lvlText w:val="o"/>
      <w:lvlJc w:val="left"/>
      <w:pPr>
        <w:ind w:left="5728" w:hanging="360"/>
      </w:pPr>
      <w:rPr>
        <w:rFonts w:hint="default" w:ascii="Courier New" w:hAnsi="Courier New" w:cs="Courier New"/>
      </w:rPr>
    </w:lvl>
    <w:lvl w:ilvl="8" w:tplc="08090005" w:tentative="1">
      <w:start w:val="1"/>
      <w:numFmt w:val="bullet"/>
      <w:lvlText w:val=""/>
      <w:lvlJc w:val="left"/>
      <w:pPr>
        <w:ind w:left="6448" w:hanging="360"/>
      </w:pPr>
      <w:rPr>
        <w:rFonts w:hint="default" w:ascii="Wingdings" w:hAnsi="Wingdings"/>
      </w:rPr>
    </w:lvl>
  </w:abstractNum>
  <w:abstractNum w:abstractNumId="16" w15:restartNumberingAfterBreak="0">
    <w:nsid w:val="2775642B"/>
    <w:multiLevelType w:val="hybridMultilevel"/>
    <w:tmpl w:val="1DF83D5C"/>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17" w15:restartNumberingAfterBreak="0">
    <w:nsid w:val="27A77DB5"/>
    <w:multiLevelType w:val="hybridMultilevel"/>
    <w:tmpl w:val="955C997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294A3948"/>
    <w:multiLevelType w:val="hybridMultilevel"/>
    <w:tmpl w:val="94227E7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2D8A51B9"/>
    <w:multiLevelType w:val="hybridMultilevel"/>
    <w:tmpl w:val="EC38C9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1E00FE9"/>
    <w:multiLevelType w:val="hybridMultilevel"/>
    <w:tmpl w:val="08AC3212"/>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21" w15:restartNumberingAfterBreak="0">
    <w:nsid w:val="3E3363C9"/>
    <w:multiLevelType w:val="hybridMultilevel"/>
    <w:tmpl w:val="CD3619C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42B73432"/>
    <w:multiLevelType w:val="hybridMultilevel"/>
    <w:tmpl w:val="1F4E4622"/>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23" w15:restartNumberingAfterBreak="0">
    <w:nsid w:val="42E21ACE"/>
    <w:multiLevelType w:val="hybridMultilevel"/>
    <w:tmpl w:val="1AE2AE74"/>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24" w15:restartNumberingAfterBreak="0">
    <w:nsid w:val="46B42E64"/>
    <w:multiLevelType w:val="hybridMultilevel"/>
    <w:tmpl w:val="D70C8D54"/>
    <w:lvl w:ilvl="0" w:tplc="08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25" w15:restartNumberingAfterBreak="0">
    <w:nsid w:val="48B76ABD"/>
    <w:multiLevelType w:val="hybridMultilevel"/>
    <w:tmpl w:val="4A1EAE2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A513B19"/>
    <w:multiLevelType w:val="hybridMultilevel"/>
    <w:tmpl w:val="EE62A8F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BFD5BB0"/>
    <w:multiLevelType w:val="hybridMultilevel"/>
    <w:tmpl w:val="160E92F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D0874BC"/>
    <w:multiLevelType w:val="hybridMultilevel"/>
    <w:tmpl w:val="15F48FE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511139DF"/>
    <w:multiLevelType w:val="hybridMultilevel"/>
    <w:tmpl w:val="AF7E29D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0" w15:restartNumberingAfterBreak="0">
    <w:nsid w:val="51F02213"/>
    <w:multiLevelType w:val="hybridMultilevel"/>
    <w:tmpl w:val="C17C45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1" w15:restartNumberingAfterBreak="0">
    <w:nsid w:val="52ED24E5"/>
    <w:multiLevelType w:val="hybridMultilevel"/>
    <w:tmpl w:val="5C9A14C8"/>
    <w:lvl w:ilvl="0" w:tplc="0C6E52A0">
      <w:numFmt w:val="bullet"/>
      <w:lvlText w:val="•"/>
      <w:lvlJc w:val="left"/>
      <w:pPr>
        <w:ind w:left="-6" w:hanging="360"/>
      </w:pPr>
      <w:rPr>
        <w:rFonts w:hint="default" w:ascii="Arial" w:hAnsi="Arial" w:cs="Arial" w:eastAsiaTheme="minorHAnsi"/>
      </w:rPr>
    </w:lvl>
    <w:lvl w:ilvl="1" w:tplc="08090003" w:tentative="1">
      <w:start w:val="1"/>
      <w:numFmt w:val="bullet"/>
      <w:lvlText w:val="o"/>
      <w:lvlJc w:val="left"/>
      <w:pPr>
        <w:ind w:left="714" w:hanging="360"/>
      </w:pPr>
      <w:rPr>
        <w:rFonts w:hint="default" w:ascii="Courier New" w:hAnsi="Courier New" w:cs="Courier New"/>
      </w:rPr>
    </w:lvl>
    <w:lvl w:ilvl="2" w:tplc="08090005" w:tentative="1">
      <w:start w:val="1"/>
      <w:numFmt w:val="bullet"/>
      <w:lvlText w:val=""/>
      <w:lvlJc w:val="left"/>
      <w:pPr>
        <w:ind w:left="1434" w:hanging="360"/>
      </w:pPr>
      <w:rPr>
        <w:rFonts w:hint="default" w:ascii="Wingdings" w:hAnsi="Wingdings"/>
      </w:rPr>
    </w:lvl>
    <w:lvl w:ilvl="3" w:tplc="08090001" w:tentative="1">
      <w:start w:val="1"/>
      <w:numFmt w:val="bullet"/>
      <w:lvlText w:val=""/>
      <w:lvlJc w:val="left"/>
      <w:pPr>
        <w:ind w:left="2154" w:hanging="360"/>
      </w:pPr>
      <w:rPr>
        <w:rFonts w:hint="default" w:ascii="Symbol" w:hAnsi="Symbol"/>
      </w:rPr>
    </w:lvl>
    <w:lvl w:ilvl="4" w:tplc="08090003" w:tentative="1">
      <w:start w:val="1"/>
      <w:numFmt w:val="bullet"/>
      <w:lvlText w:val="o"/>
      <w:lvlJc w:val="left"/>
      <w:pPr>
        <w:ind w:left="2874" w:hanging="360"/>
      </w:pPr>
      <w:rPr>
        <w:rFonts w:hint="default" w:ascii="Courier New" w:hAnsi="Courier New" w:cs="Courier New"/>
      </w:rPr>
    </w:lvl>
    <w:lvl w:ilvl="5" w:tplc="08090005" w:tentative="1">
      <w:start w:val="1"/>
      <w:numFmt w:val="bullet"/>
      <w:lvlText w:val=""/>
      <w:lvlJc w:val="left"/>
      <w:pPr>
        <w:ind w:left="3594" w:hanging="360"/>
      </w:pPr>
      <w:rPr>
        <w:rFonts w:hint="default" w:ascii="Wingdings" w:hAnsi="Wingdings"/>
      </w:rPr>
    </w:lvl>
    <w:lvl w:ilvl="6" w:tplc="08090001" w:tentative="1">
      <w:start w:val="1"/>
      <w:numFmt w:val="bullet"/>
      <w:lvlText w:val=""/>
      <w:lvlJc w:val="left"/>
      <w:pPr>
        <w:ind w:left="4314" w:hanging="360"/>
      </w:pPr>
      <w:rPr>
        <w:rFonts w:hint="default" w:ascii="Symbol" w:hAnsi="Symbol"/>
      </w:rPr>
    </w:lvl>
    <w:lvl w:ilvl="7" w:tplc="08090003" w:tentative="1">
      <w:start w:val="1"/>
      <w:numFmt w:val="bullet"/>
      <w:lvlText w:val="o"/>
      <w:lvlJc w:val="left"/>
      <w:pPr>
        <w:ind w:left="5034" w:hanging="360"/>
      </w:pPr>
      <w:rPr>
        <w:rFonts w:hint="default" w:ascii="Courier New" w:hAnsi="Courier New" w:cs="Courier New"/>
      </w:rPr>
    </w:lvl>
    <w:lvl w:ilvl="8" w:tplc="08090005" w:tentative="1">
      <w:start w:val="1"/>
      <w:numFmt w:val="bullet"/>
      <w:lvlText w:val=""/>
      <w:lvlJc w:val="left"/>
      <w:pPr>
        <w:ind w:left="5754" w:hanging="360"/>
      </w:pPr>
      <w:rPr>
        <w:rFonts w:hint="default" w:ascii="Wingdings" w:hAnsi="Wingdings"/>
      </w:rPr>
    </w:lvl>
  </w:abstractNum>
  <w:abstractNum w:abstractNumId="32" w15:restartNumberingAfterBreak="0">
    <w:nsid w:val="536B69CB"/>
    <w:multiLevelType w:val="hybridMultilevel"/>
    <w:tmpl w:val="A996904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54BF6C11"/>
    <w:multiLevelType w:val="hybridMultilevel"/>
    <w:tmpl w:val="3192FF22"/>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4" w15:restartNumberingAfterBreak="0">
    <w:nsid w:val="5BC720E7"/>
    <w:multiLevelType w:val="hybridMultilevel"/>
    <w:tmpl w:val="E6620114"/>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5" w15:restartNumberingAfterBreak="0">
    <w:nsid w:val="60F6054E"/>
    <w:multiLevelType w:val="hybridMultilevel"/>
    <w:tmpl w:val="851E77C8"/>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6" w15:restartNumberingAfterBreak="0">
    <w:nsid w:val="650D71B9"/>
    <w:multiLevelType w:val="hybridMultilevel"/>
    <w:tmpl w:val="7C0AFEBE"/>
    <w:lvl w:ilvl="0" w:tplc="08090001">
      <w:start w:val="1"/>
      <w:numFmt w:val="bullet"/>
      <w:lvlText w:val=""/>
      <w:lvlJc w:val="left"/>
      <w:pPr>
        <w:ind w:left="436" w:hanging="360"/>
      </w:pPr>
      <w:rPr>
        <w:rFonts w:hint="default" w:ascii="Symbol" w:hAnsi="Symbol"/>
      </w:rPr>
    </w:lvl>
    <w:lvl w:ilvl="1" w:tplc="08090003" w:tentative="1">
      <w:start w:val="1"/>
      <w:numFmt w:val="bullet"/>
      <w:lvlText w:val="o"/>
      <w:lvlJc w:val="left"/>
      <w:pPr>
        <w:ind w:left="1156" w:hanging="360"/>
      </w:pPr>
      <w:rPr>
        <w:rFonts w:hint="default" w:ascii="Courier New" w:hAnsi="Courier New" w:cs="Courier New"/>
      </w:rPr>
    </w:lvl>
    <w:lvl w:ilvl="2" w:tplc="08090005" w:tentative="1">
      <w:start w:val="1"/>
      <w:numFmt w:val="bullet"/>
      <w:lvlText w:val=""/>
      <w:lvlJc w:val="left"/>
      <w:pPr>
        <w:ind w:left="1876" w:hanging="360"/>
      </w:pPr>
      <w:rPr>
        <w:rFonts w:hint="default" w:ascii="Wingdings" w:hAnsi="Wingdings"/>
      </w:rPr>
    </w:lvl>
    <w:lvl w:ilvl="3" w:tplc="08090001" w:tentative="1">
      <w:start w:val="1"/>
      <w:numFmt w:val="bullet"/>
      <w:lvlText w:val=""/>
      <w:lvlJc w:val="left"/>
      <w:pPr>
        <w:ind w:left="2596" w:hanging="360"/>
      </w:pPr>
      <w:rPr>
        <w:rFonts w:hint="default" w:ascii="Symbol" w:hAnsi="Symbol"/>
      </w:rPr>
    </w:lvl>
    <w:lvl w:ilvl="4" w:tplc="08090003" w:tentative="1">
      <w:start w:val="1"/>
      <w:numFmt w:val="bullet"/>
      <w:lvlText w:val="o"/>
      <w:lvlJc w:val="left"/>
      <w:pPr>
        <w:ind w:left="3316" w:hanging="360"/>
      </w:pPr>
      <w:rPr>
        <w:rFonts w:hint="default" w:ascii="Courier New" w:hAnsi="Courier New" w:cs="Courier New"/>
      </w:rPr>
    </w:lvl>
    <w:lvl w:ilvl="5" w:tplc="08090005" w:tentative="1">
      <w:start w:val="1"/>
      <w:numFmt w:val="bullet"/>
      <w:lvlText w:val=""/>
      <w:lvlJc w:val="left"/>
      <w:pPr>
        <w:ind w:left="4036" w:hanging="360"/>
      </w:pPr>
      <w:rPr>
        <w:rFonts w:hint="default" w:ascii="Wingdings" w:hAnsi="Wingdings"/>
      </w:rPr>
    </w:lvl>
    <w:lvl w:ilvl="6" w:tplc="08090001" w:tentative="1">
      <w:start w:val="1"/>
      <w:numFmt w:val="bullet"/>
      <w:lvlText w:val=""/>
      <w:lvlJc w:val="left"/>
      <w:pPr>
        <w:ind w:left="4756" w:hanging="360"/>
      </w:pPr>
      <w:rPr>
        <w:rFonts w:hint="default" w:ascii="Symbol" w:hAnsi="Symbol"/>
      </w:rPr>
    </w:lvl>
    <w:lvl w:ilvl="7" w:tplc="08090003" w:tentative="1">
      <w:start w:val="1"/>
      <w:numFmt w:val="bullet"/>
      <w:lvlText w:val="o"/>
      <w:lvlJc w:val="left"/>
      <w:pPr>
        <w:ind w:left="5476" w:hanging="360"/>
      </w:pPr>
      <w:rPr>
        <w:rFonts w:hint="default" w:ascii="Courier New" w:hAnsi="Courier New" w:cs="Courier New"/>
      </w:rPr>
    </w:lvl>
    <w:lvl w:ilvl="8" w:tplc="08090005" w:tentative="1">
      <w:start w:val="1"/>
      <w:numFmt w:val="bullet"/>
      <w:lvlText w:val=""/>
      <w:lvlJc w:val="left"/>
      <w:pPr>
        <w:ind w:left="6196" w:hanging="360"/>
      </w:pPr>
      <w:rPr>
        <w:rFonts w:hint="default" w:ascii="Wingdings" w:hAnsi="Wingdings"/>
      </w:rPr>
    </w:lvl>
  </w:abstractNum>
  <w:abstractNum w:abstractNumId="37" w15:restartNumberingAfterBreak="0">
    <w:nsid w:val="726F5800"/>
    <w:multiLevelType w:val="hybridMultilevel"/>
    <w:tmpl w:val="93964E1A"/>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8" w15:restartNumberingAfterBreak="0">
    <w:nsid w:val="73F437C1"/>
    <w:multiLevelType w:val="hybridMultilevel"/>
    <w:tmpl w:val="2AF68716"/>
    <w:lvl w:ilvl="0" w:tplc="08090001">
      <w:start w:val="1"/>
      <w:numFmt w:val="bullet"/>
      <w:lvlText w:val=""/>
      <w:lvlJc w:val="left"/>
      <w:pPr>
        <w:ind w:left="363" w:hanging="360"/>
      </w:pPr>
      <w:rPr>
        <w:rFonts w:hint="default" w:ascii="Symbol" w:hAnsi="Symbol"/>
      </w:rPr>
    </w:lvl>
    <w:lvl w:ilvl="1" w:tplc="08090003" w:tentative="1">
      <w:start w:val="1"/>
      <w:numFmt w:val="bullet"/>
      <w:lvlText w:val="o"/>
      <w:lvlJc w:val="left"/>
      <w:pPr>
        <w:ind w:left="1083" w:hanging="360"/>
      </w:pPr>
      <w:rPr>
        <w:rFonts w:hint="default" w:ascii="Courier New" w:hAnsi="Courier New" w:cs="Courier New"/>
      </w:rPr>
    </w:lvl>
    <w:lvl w:ilvl="2" w:tplc="08090005" w:tentative="1">
      <w:start w:val="1"/>
      <w:numFmt w:val="bullet"/>
      <w:lvlText w:val=""/>
      <w:lvlJc w:val="left"/>
      <w:pPr>
        <w:ind w:left="1803" w:hanging="360"/>
      </w:pPr>
      <w:rPr>
        <w:rFonts w:hint="default" w:ascii="Wingdings" w:hAnsi="Wingdings"/>
      </w:rPr>
    </w:lvl>
    <w:lvl w:ilvl="3" w:tplc="08090001" w:tentative="1">
      <w:start w:val="1"/>
      <w:numFmt w:val="bullet"/>
      <w:lvlText w:val=""/>
      <w:lvlJc w:val="left"/>
      <w:pPr>
        <w:ind w:left="2523" w:hanging="360"/>
      </w:pPr>
      <w:rPr>
        <w:rFonts w:hint="default" w:ascii="Symbol" w:hAnsi="Symbol"/>
      </w:rPr>
    </w:lvl>
    <w:lvl w:ilvl="4" w:tplc="08090003" w:tentative="1">
      <w:start w:val="1"/>
      <w:numFmt w:val="bullet"/>
      <w:lvlText w:val="o"/>
      <w:lvlJc w:val="left"/>
      <w:pPr>
        <w:ind w:left="3243" w:hanging="360"/>
      </w:pPr>
      <w:rPr>
        <w:rFonts w:hint="default" w:ascii="Courier New" w:hAnsi="Courier New" w:cs="Courier New"/>
      </w:rPr>
    </w:lvl>
    <w:lvl w:ilvl="5" w:tplc="08090005" w:tentative="1">
      <w:start w:val="1"/>
      <w:numFmt w:val="bullet"/>
      <w:lvlText w:val=""/>
      <w:lvlJc w:val="left"/>
      <w:pPr>
        <w:ind w:left="3963" w:hanging="360"/>
      </w:pPr>
      <w:rPr>
        <w:rFonts w:hint="default" w:ascii="Wingdings" w:hAnsi="Wingdings"/>
      </w:rPr>
    </w:lvl>
    <w:lvl w:ilvl="6" w:tplc="08090001" w:tentative="1">
      <w:start w:val="1"/>
      <w:numFmt w:val="bullet"/>
      <w:lvlText w:val=""/>
      <w:lvlJc w:val="left"/>
      <w:pPr>
        <w:ind w:left="4683" w:hanging="360"/>
      </w:pPr>
      <w:rPr>
        <w:rFonts w:hint="default" w:ascii="Symbol" w:hAnsi="Symbol"/>
      </w:rPr>
    </w:lvl>
    <w:lvl w:ilvl="7" w:tplc="08090003" w:tentative="1">
      <w:start w:val="1"/>
      <w:numFmt w:val="bullet"/>
      <w:lvlText w:val="o"/>
      <w:lvlJc w:val="left"/>
      <w:pPr>
        <w:ind w:left="5403" w:hanging="360"/>
      </w:pPr>
      <w:rPr>
        <w:rFonts w:hint="default" w:ascii="Courier New" w:hAnsi="Courier New" w:cs="Courier New"/>
      </w:rPr>
    </w:lvl>
    <w:lvl w:ilvl="8" w:tplc="08090005" w:tentative="1">
      <w:start w:val="1"/>
      <w:numFmt w:val="bullet"/>
      <w:lvlText w:val=""/>
      <w:lvlJc w:val="left"/>
      <w:pPr>
        <w:ind w:left="6123" w:hanging="360"/>
      </w:pPr>
      <w:rPr>
        <w:rFonts w:hint="default" w:ascii="Wingdings" w:hAnsi="Wingdings"/>
      </w:rPr>
    </w:lvl>
  </w:abstractNum>
  <w:abstractNum w:abstractNumId="39" w15:restartNumberingAfterBreak="0">
    <w:nsid w:val="73FE3B57"/>
    <w:multiLevelType w:val="hybridMultilevel"/>
    <w:tmpl w:val="5CAA5426"/>
    <w:lvl w:ilvl="0" w:tplc="04090001">
      <w:start w:val="1"/>
      <w:numFmt w:val="bullet"/>
      <w:lvlText w:val=""/>
      <w:lvlJc w:val="left"/>
      <w:pPr>
        <w:ind w:left="294" w:hanging="360"/>
      </w:pPr>
      <w:rPr>
        <w:rFonts w:hint="default" w:ascii="Symbol" w:hAnsi="Symbol"/>
      </w:rPr>
    </w:lvl>
    <w:lvl w:ilvl="1" w:tplc="08090003" w:tentative="1">
      <w:start w:val="1"/>
      <w:numFmt w:val="bullet"/>
      <w:lvlText w:val="o"/>
      <w:lvlJc w:val="left"/>
      <w:pPr>
        <w:ind w:left="1014" w:hanging="360"/>
      </w:pPr>
      <w:rPr>
        <w:rFonts w:hint="default" w:ascii="Courier New" w:hAnsi="Courier New" w:cs="Courier New"/>
      </w:rPr>
    </w:lvl>
    <w:lvl w:ilvl="2" w:tplc="08090005" w:tentative="1">
      <w:start w:val="1"/>
      <w:numFmt w:val="bullet"/>
      <w:lvlText w:val=""/>
      <w:lvlJc w:val="left"/>
      <w:pPr>
        <w:ind w:left="1734" w:hanging="360"/>
      </w:pPr>
      <w:rPr>
        <w:rFonts w:hint="default" w:ascii="Wingdings" w:hAnsi="Wingdings"/>
      </w:rPr>
    </w:lvl>
    <w:lvl w:ilvl="3" w:tplc="08090001" w:tentative="1">
      <w:start w:val="1"/>
      <w:numFmt w:val="bullet"/>
      <w:lvlText w:val=""/>
      <w:lvlJc w:val="left"/>
      <w:pPr>
        <w:ind w:left="2454" w:hanging="360"/>
      </w:pPr>
      <w:rPr>
        <w:rFonts w:hint="default" w:ascii="Symbol" w:hAnsi="Symbol"/>
      </w:rPr>
    </w:lvl>
    <w:lvl w:ilvl="4" w:tplc="08090003" w:tentative="1">
      <w:start w:val="1"/>
      <w:numFmt w:val="bullet"/>
      <w:lvlText w:val="o"/>
      <w:lvlJc w:val="left"/>
      <w:pPr>
        <w:ind w:left="3174" w:hanging="360"/>
      </w:pPr>
      <w:rPr>
        <w:rFonts w:hint="default" w:ascii="Courier New" w:hAnsi="Courier New" w:cs="Courier New"/>
      </w:rPr>
    </w:lvl>
    <w:lvl w:ilvl="5" w:tplc="08090005" w:tentative="1">
      <w:start w:val="1"/>
      <w:numFmt w:val="bullet"/>
      <w:lvlText w:val=""/>
      <w:lvlJc w:val="left"/>
      <w:pPr>
        <w:ind w:left="3894" w:hanging="360"/>
      </w:pPr>
      <w:rPr>
        <w:rFonts w:hint="default" w:ascii="Wingdings" w:hAnsi="Wingdings"/>
      </w:rPr>
    </w:lvl>
    <w:lvl w:ilvl="6" w:tplc="08090001" w:tentative="1">
      <w:start w:val="1"/>
      <w:numFmt w:val="bullet"/>
      <w:lvlText w:val=""/>
      <w:lvlJc w:val="left"/>
      <w:pPr>
        <w:ind w:left="4614" w:hanging="360"/>
      </w:pPr>
      <w:rPr>
        <w:rFonts w:hint="default" w:ascii="Symbol" w:hAnsi="Symbol"/>
      </w:rPr>
    </w:lvl>
    <w:lvl w:ilvl="7" w:tplc="08090003" w:tentative="1">
      <w:start w:val="1"/>
      <w:numFmt w:val="bullet"/>
      <w:lvlText w:val="o"/>
      <w:lvlJc w:val="left"/>
      <w:pPr>
        <w:ind w:left="5334" w:hanging="360"/>
      </w:pPr>
      <w:rPr>
        <w:rFonts w:hint="default" w:ascii="Courier New" w:hAnsi="Courier New" w:cs="Courier New"/>
      </w:rPr>
    </w:lvl>
    <w:lvl w:ilvl="8" w:tplc="08090005" w:tentative="1">
      <w:start w:val="1"/>
      <w:numFmt w:val="bullet"/>
      <w:lvlText w:val=""/>
      <w:lvlJc w:val="left"/>
      <w:pPr>
        <w:ind w:left="6054" w:hanging="360"/>
      </w:pPr>
      <w:rPr>
        <w:rFonts w:hint="default" w:ascii="Wingdings" w:hAnsi="Wingdings"/>
      </w:rPr>
    </w:lvl>
  </w:abstractNum>
  <w:abstractNum w:abstractNumId="40" w15:restartNumberingAfterBreak="0">
    <w:nsid w:val="79354047"/>
    <w:multiLevelType w:val="hybridMultilevel"/>
    <w:tmpl w:val="29B09FB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1" w15:restartNumberingAfterBreak="0">
    <w:nsid w:val="7A9154FC"/>
    <w:multiLevelType w:val="hybridMultilevel"/>
    <w:tmpl w:val="C76E5A6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C6F794A"/>
    <w:multiLevelType w:val="hybridMultilevel"/>
    <w:tmpl w:val="A8044CAA"/>
    <w:lvl w:ilvl="0" w:tplc="08090001">
      <w:start w:val="1"/>
      <w:numFmt w:val="bullet"/>
      <w:lvlText w:val=""/>
      <w:lvlJc w:val="left"/>
      <w:pPr>
        <w:ind w:left="688" w:hanging="360"/>
      </w:pPr>
      <w:rPr>
        <w:rFonts w:hint="default" w:ascii="Symbol" w:hAnsi="Symbol"/>
      </w:rPr>
    </w:lvl>
    <w:lvl w:ilvl="1" w:tplc="08090003" w:tentative="1">
      <w:start w:val="1"/>
      <w:numFmt w:val="bullet"/>
      <w:lvlText w:val="o"/>
      <w:lvlJc w:val="left"/>
      <w:pPr>
        <w:ind w:left="1408" w:hanging="360"/>
      </w:pPr>
      <w:rPr>
        <w:rFonts w:hint="default" w:ascii="Courier New" w:hAnsi="Courier New" w:cs="Courier New"/>
      </w:rPr>
    </w:lvl>
    <w:lvl w:ilvl="2" w:tplc="08090005" w:tentative="1">
      <w:start w:val="1"/>
      <w:numFmt w:val="bullet"/>
      <w:lvlText w:val=""/>
      <w:lvlJc w:val="left"/>
      <w:pPr>
        <w:ind w:left="2128" w:hanging="360"/>
      </w:pPr>
      <w:rPr>
        <w:rFonts w:hint="default" w:ascii="Wingdings" w:hAnsi="Wingdings"/>
      </w:rPr>
    </w:lvl>
    <w:lvl w:ilvl="3" w:tplc="08090001" w:tentative="1">
      <w:start w:val="1"/>
      <w:numFmt w:val="bullet"/>
      <w:lvlText w:val=""/>
      <w:lvlJc w:val="left"/>
      <w:pPr>
        <w:ind w:left="2848" w:hanging="360"/>
      </w:pPr>
      <w:rPr>
        <w:rFonts w:hint="default" w:ascii="Symbol" w:hAnsi="Symbol"/>
      </w:rPr>
    </w:lvl>
    <w:lvl w:ilvl="4" w:tplc="08090003" w:tentative="1">
      <w:start w:val="1"/>
      <w:numFmt w:val="bullet"/>
      <w:lvlText w:val="o"/>
      <w:lvlJc w:val="left"/>
      <w:pPr>
        <w:ind w:left="3568" w:hanging="360"/>
      </w:pPr>
      <w:rPr>
        <w:rFonts w:hint="default" w:ascii="Courier New" w:hAnsi="Courier New" w:cs="Courier New"/>
      </w:rPr>
    </w:lvl>
    <w:lvl w:ilvl="5" w:tplc="08090005" w:tentative="1">
      <w:start w:val="1"/>
      <w:numFmt w:val="bullet"/>
      <w:lvlText w:val=""/>
      <w:lvlJc w:val="left"/>
      <w:pPr>
        <w:ind w:left="4288" w:hanging="360"/>
      </w:pPr>
      <w:rPr>
        <w:rFonts w:hint="default" w:ascii="Wingdings" w:hAnsi="Wingdings"/>
      </w:rPr>
    </w:lvl>
    <w:lvl w:ilvl="6" w:tplc="08090001" w:tentative="1">
      <w:start w:val="1"/>
      <w:numFmt w:val="bullet"/>
      <w:lvlText w:val=""/>
      <w:lvlJc w:val="left"/>
      <w:pPr>
        <w:ind w:left="5008" w:hanging="360"/>
      </w:pPr>
      <w:rPr>
        <w:rFonts w:hint="default" w:ascii="Symbol" w:hAnsi="Symbol"/>
      </w:rPr>
    </w:lvl>
    <w:lvl w:ilvl="7" w:tplc="08090003" w:tentative="1">
      <w:start w:val="1"/>
      <w:numFmt w:val="bullet"/>
      <w:lvlText w:val="o"/>
      <w:lvlJc w:val="left"/>
      <w:pPr>
        <w:ind w:left="5728" w:hanging="360"/>
      </w:pPr>
      <w:rPr>
        <w:rFonts w:hint="default" w:ascii="Courier New" w:hAnsi="Courier New" w:cs="Courier New"/>
      </w:rPr>
    </w:lvl>
    <w:lvl w:ilvl="8" w:tplc="08090005" w:tentative="1">
      <w:start w:val="1"/>
      <w:numFmt w:val="bullet"/>
      <w:lvlText w:val=""/>
      <w:lvlJc w:val="left"/>
      <w:pPr>
        <w:ind w:left="6448" w:hanging="360"/>
      </w:pPr>
      <w:rPr>
        <w:rFonts w:hint="default" w:ascii="Wingdings" w:hAnsi="Wingdings"/>
      </w:rPr>
    </w:lvl>
  </w:abstractNum>
  <w:abstractNum w:abstractNumId="43" w15:restartNumberingAfterBreak="0">
    <w:nsid w:val="7F1A5757"/>
    <w:multiLevelType w:val="hybridMultilevel"/>
    <w:tmpl w:val="25C42E50"/>
    <w:lvl w:ilvl="0" w:tplc="08090001">
      <w:start w:val="1"/>
      <w:numFmt w:val="bullet"/>
      <w:lvlText w:val=""/>
      <w:lvlJc w:val="left"/>
      <w:pPr>
        <w:ind w:left="688" w:hanging="360"/>
      </w:pPr>
      <w:rPr>
        <w:rFonts w:hint="default" w:ascii="Symbol" w:hAnsi="Symbol"/>
      </w:rPr>
    </w:lvl>
    <w:lvl w:ilvl="1" w:tplc="08090003" w:tentative="1">
      <w:start w:val="1"/>
      <w:numFmt w:val="bullet"/>
      <w:lvlText w:val="o"/>
      <w:lvlJc w:val="left"/>
      <w:pPr>
        <w:ind w:left="1408" w:hanging="360"/>
      </w:pPr>
      <w:rPr>
        <w:rFonts w:hint="default" w:ascii="Courier New" w:hAnsi="Courier New" w:cs="Courier New"/>
      </w:rPr>
    </w:lvl>
    <w:lvl w:ilvl="2" w:tplc="08090005" w:tentative="1">
      <w:start w:val="1"/>
      <w:numFmt w:val="bullet"/>
      <w:lvlText w:val=""/>
      <w:lvlJc w:val="left"/>
      <w:pPr>
        <w:ind w:left="2128" w:hanging="360"/>
      </w:pPr>
      <w:rPr>
        <w:rFonts w:hint="default" w:ascii="Wingdings" w:hAnsi="Wingdings"/>
      </w:rPr>
    </w:lvl>
    <w:lvl w:ilvl="3" w:tplc="08090001" w:tentative="1">
      <w:start w:val="1"/>
      <w:numFmt w:val="bullet"/>
      <w:lvlText w:val=""/>
      <w:lvlJc w:val="left"/>
      <w:pPr>
        <w:ind w:left="2848" w:hanging="360"/>
      </w:pPr>
      <w:rPr>
        <w:rFonts w:hint="default" w:ascii="Symbol" w:hAnsi="Symbol"/>
      </w:rPr>
    </w:lvl>
    <w:lvl w:ilvl="4" w:tplc="08090003" w:tentative="1">
      <w:start w:val="1"/>
      <w:numFmt w:val="bullet"/>
      <w:lvlText w:val="o"/>
      <w:lvlJc w:val="left"/>
      <w:pPr>
        <w:ind w:left="3568" w:hanging="360"/>
      </w:pPr>
      <w:rPr>
        <w:rFonts w:hint="default" w:ascii="Courier New" w:hAnsi="Courier New" w:cs="Courier New"/>
      </w:rPr>
    </w:lvl>
    <w:lvl w:ilvl="5" w:tplc="08090005" w:tentative="1">
      <w:start w:val="1"/>
      <w:numFmt w:val="bullet"/>
      <w:lvlText w:val=""/>
      <w:lvlJc w:val="left"/>
      <w:pPr>
        <w:ind w:left="4288" w:hanging="360"/>
      </w:pPr>
      <w:rPr>
        <w:rFonts w:hint="default" w:ascii="Wingdings" w:hAnsi="Wingdings"/>
      </w:rPr>
    </w:lvl>
    <w:lvl w:ilvl="6" w:tplc="08090001" w:tentative="1">
      <w:start w:val="1"/>
      <w:numFmt w:val="bullet"/>
      <w:lvlText w:val=""/>
      <w:lvlJc w:val="left"/>
      <w:pPr>
        <w:ind w:left="5008" w:hanging="360"/>
      </w:pPr>
      <w:rPr>
        <w:rFonts w:hint="default" w:ascii="Symbol" w:hAnsi="Symbol"/>
      </w:rPr>
    </w:lvl>
    <w:lvl w:ilvl="7" w:tplc="08090003" w:tentative="1">
      <w:start w:val="1"/>
      <w:numFmt w:val="bullet"/>
      <w:lvlText w:val="o"/>
      <w:lvlJc w:val="left"/>
      <w:pPr>
        <w:ind w:left="5728" w:hanging="360"/>
      </w:pPr>
      <w:rPr>
        <w:rFonts w:hint="default" w:ascii="Courier New" w:hAnsi="Courier New" w:cs="Courier New"/>
      </w:rPr>
    </w:lvl>
    <w:lvl w:ilvl="8" w:tplc="08090005" w:tentative="1">
      <w:start w:val="1"/>
      <w:numFmt w:val="bullet"/>
      <w:lvlText w:val=""/>
      <w:lvlJc w:val="left"/>
      <w:pPr>
        <w:ind w:left="6448" w:hanging="360"/>
      </w:pPr>
      <w:rPr>
        <w:rFonts w:hint="default" w:ascii="Wingdings" w:hAnsi="Wingdings"/>
      </w:rPr>
    </w:lvl>
  </w:abstractNum>
  <w:num w:numId="1">
    <w:abstractNumId w:val="30"/>
  </w:num>
  <w:num w:numId="2">
    <w:abstractNumId w:val="21"/>
  </w:num>
  <w:num w:numId="3">
    <w:abstractNumId w:val="29"/>
  </w:num>
  <w:num w:numId="4">
    <w:abstractNumId w:val="9"/>
  </w:num>
  <w:num w:numId="5">
    <w:abstractNumId w:val="3"/>
  </w:num>
  <w:num w:numId="6">
    <w:abstractNumId w:val="11"/>
  </w:num>
  <w:num w:numId="7">
    <w:abstractNumId w:val="12"/>
  </w:num>
  <w:num w:numId="8">
    <w:abstractNumId w:val="43"/>
  </w:num>
  <w:num w:numId="9">
    <w:abstractNumId w:val="7"/>
  </w:num>
  <w:num w:numId="10">
    <w:abstractNumId w:val="1"/>
  </w:num>
  <w:num w:numId="11">
    <w:abstractNumId w:val="19"/>
  </w:num>
  <w:num w:numId="12">
    <w:abstractNumId w:val="42"/>
  </w:num>
  <w:num w:numId="13">
    <w:abstractNumId w:val="15"/>
  </w:num>
  <w:num w:numId="14">
    <w:abstractNumId w:val="27"/>
  </w:num>
  <w:num w:numId="15">
    <w:abstractNumId w:val="36"/>
  </w:num>
  <w:num w:numId="16">
    <w:abstractNumId w:val="41"/>
  </w:num>
  <w:num w:numId="17">
    <w:abstractNumId w:val="10"/>
  </w:num>
  <w:num w:numId="18">
    <w:abstractNumId w:val="18"/>
  </w:num>
  <w:num w:numId="19">
    <w:abstractNumId w:val="28"/>
  </w:num>
  <w:num w:numId="20">
    <w:abstractNumId w:val="25"/>
  </w:num>
  <w:num w:numId="21">
    <w:abstractNumId w:val="5"/>
  </w:num>
  <w:num w:numId="22">
    <w:abstractNumId w:val="34"/>
  </w:num>
  <w:num w:numId="23">
    <w:abstractNumId w:val="26"/>
  </w:num>
  <w:num w:numId="24">
    <w:abstractNumId w:val="17"/>
  </w:num>
  <w:num w:numId="25">
    <w:abstractNumId w:val="6"/>
  </w:num>
  <w:num w:numId="26">
    <w:abstractNumId w:val="38"/>
  </w:num>
  <w:num w:numId="27">
    <w:abstractNumId w:val="40"/>
  </w:num>
  <w:num w:numId="28">
    <w:abstractNumId w:val="4"/>
  </w:num>
  <w:num w:numId="29">
    <w:abstractNumId w:val="13"/>
  </w:num>
  <w:num w:numId="30">
    <w:abstractNumId w:val="8"/>
  </w:num>
  <w:num w:numId="31">
    <w:abstractNumId w:val="14"/>
  </w:num>
  <w:num w:numId="32">
    <w:abstractNumId w:val="32"/>
  </w:num>
  <w:num w:numId="33">
    <w:abstractNumId w:val="2"/>
  </w:num>
  <w:num w:numId="34">
    <w:abstractNumId w:val="23"/>
  </w:num>
  <w:num w:numId="35">
    <w:abstractNumId w:val="0"/>
  </w:num>
  <w:num w:numId="36">
    <w:abstractNumId w:val="20"/>
  </w:num>
  <w:num w:numId="37">
    <w:abstractNumId w:val="33"/>
  </w:num>
  <w:num w:numId="38">
    <w:abstractNumId w:val="35"/>
  </w:num>
  <w:num w:numId="39">
    <w:abstractNumId w:val="22"/>
  </w:num>
  <w:num w:numId="40">
    <w:abstractNumId w:val="37"/>
  </w:num>
  <w:num w:numId="41">
    <w:abstractNumId w:val="24"/>
  </w:num>
  <w:num w:numId="42">
    <w:abstractNumId w:val="16"/>
  </w:num>
  <w:num w:numId="43">
    <w:abstractNumId w:val="39"/>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C2A"/>
    <w:rsid w:val="000079A3"/>
    <w:rsid w:val="000079C3"/>
    <w:rsid w:val="000116B7"/>
    <w:rsid w:val="000117C6"/>
    <w:rsid w:val="00011DFC"/>
    <w:rsid w:val="000300A7"/>
    <w:rsid w:val="000311FA"/>
    <w:rsid w:val="000353C3"/>
    <w:rsid w:val="0003542B"/>
    <w:rsid w:val="00035704"/>
    <w:rsid w:val="000376A1"/>
    <w:rsid w:val="00060930"/>
    <w:rsid w:val="000650CE"/>
    <w:rsid w:val="00074B59"/>
    <w:rsid w:val="00075B66"/>
    <w:rsid w:val="00077F46"/>
    <w:rsid w:val="0008097F"/>
    <w:rsid w:val="000A3955"/>
    <w:rsid w:val="000B1939"/>
    <w:rsid w:val="000B2E8C"/>
    <w:rsid w:val="000B4279"/>
    <w:rsid w:val="000B5A76"/>
    <w:rsid w:val="000E23D1"/>
    <w:rsid w:val="000F6F22"/>
    <w:rsid w:val="0011710A"/>
    <w:rsid w:val="00122D91"/>
    <w:rsid w:val="001303F1"/>
    <w:rsid w:val="001316FE"/>
    <w:rsid w:val="00133806"/>
    <w:rsid w:val="001526AA"/>
    <w:rsid w:val="0015536B"/>
    <w:rsid w:val="00176393"/>
    <w:rsid w:val="001868DD"/>
    <w:rsid w:val="00195E10"/>
    <w:rsid w:val="00197385"/>
    <w:rsid w:val="00197C37"/>
    <w:rsid w:val="001A0DE2"/>
    <w:rsid w:val="001B0F23"/>
    <w:rsid w:val="001C1ED2"/>
    <w:rsid w:val="001C2684"/>
    <w:rsid w:val="001C64A5"/>
    <w:rsid w:val="001C7B79"/>
    <w:rsid w:val="001E5CF6"/>
    <w:rsid w:val="00210563"/>
    <w:rsid w:val="00215ADB"/>
    <w:rsid w:val="002173FF"/>
    <w:rsid w:val="00233DBF"/>
    <w:rsid w:val="00234315"/>
    <w:rsid w:val="00244854"/>
    <w:rsid w:val="00256859"/>
    <w:rsid w:val="0029326B"/>
    <w:rsid w:val="002A40EA"/>
    <w:rsid w:val="002A75AD"/>
    <w:rsid w:val="002B777A"/>
    <w:rsid w:val="002D605C"/>
    <w:rsid w:val="002E08F4"/>
    <w:rsid w:val="002E0A47"/>
    <w:rsid w:val="002E68A4"/>
    <w:rsid w:val="002F17DA"/>
    <w:rsid w:val="002F2B3B"/>
    <w:rsid w:val="00301447"/>
    <w:rsid w:val="003027BF"/>
    <w:rsid w:val="00303CD6"/>
    <w:rsid w:val="003065D5"/>
    <w:rsid w:val="00307DB6"/>
    <w:rsid w:val="0031240D"/>
    <w:rsid w:val="00336D82"/>
    <w:rsid w:val="0034591C"/>
    <w:rsid w:val="00372D9F"/>
    <w:rsid w:val="00373687"/>
    <w:rsid w:val="00374E3E"/>
    <w:rsid w:val="00384C94"/>
    <w:rsid w:val="003906C0"/>
    <w:rsid w:val="00393627"/>
    <w:rsid w:val="003A7CAD"/>
    <w:rsid w:val="003A7E8F"/>
    <w:rsid w:val="003C26B4"/>
    <w:rsid w:val="003F22B9"/>
    <w:rsid w:val="00403A7D"/>
    <w:rsid w:val="00405189"/>
    <w:rsid w:val="00431990"/>
    <w:rsid w:val="00444D04"/>
    <w:rsid w:val="004640D8"/>
    <w:rsid w:val="00480A19"/>
    <w:rsid w:val="004846EF"/>
    <w:rsid w:val="00490506"/>
    <w:rsid w:val="004A48AB"/>
    <w:rsid w:val="004C5E7C"/>
    <w:rsid w:val="004D11DC"/>
    <w:rsid w:val="004E455C"/>
    <w:rsid w:val="00503568"/>
    <w:rsid w:val="005153B3"/>
    <w:rsid w:val="00515C58"/>
    <w:rsid w:val="00524760"/>
    <w:rsid w:val="00545ADC"/>
    <w:rsid w:val="00545BE5"/>
    <w:rsid w:val="00547161"/>
    <w:rsid w:val="005471D7"/>
    <w:rsid w:val="00551011"/>
    <w:rsid w:val="00555156"/>
    <w:rsid w:val="00555A19"/>
    <w:rsid w:val="00573C5D"/>
    <w:rsid w:val="005858EA"/>
    <w:rsid w:val="00592760"/>
    <w:rsid w:val="00597C44"/>
    <w:rsid w:val="00597C75"/>
    <w:rsid w:val="005A188B"/>
    <w:rsid w:val="005B03DE"/>
    <w:rsid w:val="005B1C3A"/>
    <w:rsid w:val="005B62B9"/>
    <w:rsid w:val="005D2508"/>
    <w:rsid w:val="005D3036"/>
    <w:rsid w:val="005E37BF"/>
    <w:rsid w:val="005F773A"/>
    <w:rsid w:val="0060783C"/>
    <w:rsid w:val="00607B8D"/>
    <w:rsid w:val="00611649"/>
    <w:rsid w:val="0061203F"/>
    <w:rsid w:val="00642836"/>
    <w:rsid w:val="00654C2D"/>
    <w:rsid w:val="00657E40"/>
    <w:rsid w:val="00662A3C"/>
    <w:rsid w:val="00667EC4"/>
    <w:rsid w:val="0067402C"/>
    <w:rsid w:val="006760CC"/>
    <w:rsid w:val="006768B8"/>
    <w:rsid w:val="006A58B5"/>
    <w:rsid w:val="006C0993"/>
    <w:rsid w:val="006C3663"/>
    <w:rsid w:val="006D3B0E"/>
    <w:rsid w:val="006D48CD"/>
    <w:rsid w:val="006E4BF6"/>
    <w:rsid w:val="007000EC"/>
    <w:rsid w:val="00710CD2"/>
    <w:rsid w:val="0071400A"/>
    <w:rsid w:val="0072380A"/>
    <w:rsid w:val="007262A2"/>
    <w:rsid w:val="00726498"/>
    <w:rsid w:val="007326CE"/>
    <w:rsid w:val="00734D3D"/>
    <w:rsid w:val="00742378"/>
    <w:rsid w:val="0074373E"/>
    <w:rsid w:val="00752088"/>
    <w:rsid w:val="007542C2"/>
    <w:rsid w:val="00754CE3"/>
    <w:rsid w:val="00785F35"/>
    <w:rsid w:val="00796540"/>
    <w:rsid w:val="007A04D8"/>
    <w:rsid w:val="007A4EF6"/>
    <w:rsid w:val="007B189B"/>
    <w:rsid w:val="007B72BE"/>
    <w:rsid w:val="007C5A62"/>
    <w:rsid w:val="007C69EE"/>
    <w:rsid w:val="007D3C37"/>
    <w:rsid w:val="007E64D4"/>
    <w:rsid w:val="007F0F1D"/>
    <w:rsid w:val="008179C9"/>
    <w:rsid w:val="00820E9C"/>
    <w:rsid w:val="00822051"/>
    <w:rsid w:val="008225C7"/>
    <w:rsid w:val="00823A27"/>
    <w:rsid w:val="008302CE"/>
    <w:rsid w:val="00836D2D"/>
    <w:rsid w:val="00840F1B"/>
    <w:rsid w:val="00844AB7"/>
    <w:rsid w:val="0085152D"/>
    <w:rsid w:val="00863DDD"/>
    <w:rsid w:val="00864C2A"/>
    <w:rsid w:val="00870308"/>
    <w:rsid w:val="00873729"/>
    <w:rsid w:val="00873C14"/>
    <w:rsid w:val="00893A9D"/>
    <w:rsid w:val="00894B6A"/>
    <w:rsid w:val="008961AA"/>
    <w:rsid w:val="008A12C2"/>
    <w:rsid w:val="008A4669"/>
    <w:rsid w:val="008A62B0"/>
    <w:rsid w:val="008B51FC"/>
    <w:rsid w:val="008B6466"/>
    <w:rsid w:val="008B6EC7"/>
    <w:rsid w:val="008C0DF7"/>
    <w:rsid w:val="008D13D7"/>
    <w:rsid w:val="008D3AA9"/>
    <w:rsid w:val="008D673F"/>
    <w:rsid w:val="008F2D28"/>
    <w:rsid w:val="00900185"/>
    <w:rsid w:val="0090123D"/>
    <w:rsid w:val="00903530"/>
    <w:rsid w:val="00913E33"/>
    <w:rsid w:val="009334BB"/>
    <w:rsid w:val="00936957"/>
    <w:rsid w:val="0094176F"/>
    <w:rsid w:val="00943C6F"/>
    <w:rsid w:val="0095590C"/>
    <w:rsid w:val="0096022D"/>
    <w:rsid w:val="00966609"/>
    <w:rsid w:val="00966961"/>
    <w:rsid w:val="00970066"/>
    <w:rsid w:val="00971DBB"/>
    <w:rsid w:val="00992643"/>
    <w:rsid w:val="009A2E96"/>
    <w:rsid w:val="009A53B4"/>
    <w:rsid w:val="009A62F2"/>
    <w:rsid w:val="009B1444"/>
    <w:rsid w:val="009C07D6"/>
    <w:rsid w:val="009C1CF3"/>
    <w:rsid w:val="009C3BDD"/>
    <w:rsid w:val="009C67F5"/>
    <w:rsid w:val="009C684B"/>
    <w:rsid w:val="009D13C3"/>
    <w:rsid w:val="009F189F"/>
    <w:rsid w:val="009F1AA5"/>
    <w:rsid w:val="009F2EFD"/>
    <w:rsid w:val="009F6DCE"/>
    <w:rsid w:val="00A0180E"/>
    <w:rsid w:val="00A03AAE"/>
    <w:rsid w:val="00A05C01"/>
    <w:rsid w:val="00A32DED"/>
    <w:rsid w:val="00A36E69"/>
    <w:rsid w:val="00A437F1"/>
    <w:rsid w:val="00A466BD"/>
    <w:rsid w:val="00A55DB5"/>
    <w:rsid w:val="00A56076"/>
    <w:rsid w:val="00A57C11"/>
    <w:rsid w:val="00A653FD"/>
    <w:rsid w:val="00A71044"/>
    <w:rsid w:val="00A7510B"/>
    <w:rsid w:val="00A768FD"/>
    <w:rsid w:val="00A83E7E"/>
    <w:rsid w:val="00A90707"/>
    <w:rsid w:val="00A93EA7"/>
    <w:rsid w:val="00A960D8"/>
    <w:rsid w:val="00AB1FA7"/>
    <w:rsid w:val="00AC2E7E"/>
    <w:rsid w:val="00AC644C"/>
    <w:rsid w:val="00AD06D6"/>
    <w:rsid w:val="00AE0997"/>
    <w:rsid w:val="00AE0B74"/>
    <w:rsid w:val="00AE4C66"/>
    <w:rsid w:val="00AE625B"/>
    <w:rsid w:val="00B115D8"/>
    <w:rsid w:val="00B40874"/>
    <w:rsid w:val="00B72BF0"/>
    <w:rsid w:val="00B73572"/>
    <w:rsid w:val="00B80396"/>
    <w:rsid w:val="00B805C6"/>
    <w:rsid w:val="00BA0597"/>
    <w:rsid w:val="00BA7266"/>
    <w:rsid w:val="00BB2E00"/>
    <w:rsid w:val="00BB4C54"/>
    <w:rsid w:val="00BC1AE8"/>
    <w:rsid w:val="00BD4BA4"/>
    <w:rsid w:val="00BE68E0"/>
    <w:rsid w:val="00BE7906"/>
    <w:rsid w:val="00BF42F8"/>
    <w:rsid w:val="00BF6571"/>
    <w:rsid w:val="00C11672"/>
    <w:rsid w:val="00C21998"/>
    <w:rsid w:val="00C26F1E"/>
    <w:rsid w:val="00C331ED"/>
    <w:rsid w:val="00C3333A"/>
    <w:rsid w:val="00C350E4"/>
    <w:rsid w:val="00C439CA"/>
    <w:rsid w:val="00C529BC"/>
    <w:rsid w:val="00C55C22"/>
    <w:rsid w:val="00C564E3"/>
    <w:rsid w:val="00C64B51"/>
    <w:rsid w:val="00C70C2F"/>
    <w:rsid w:val="00C710CA"/>
    <w:rsid w:val="00C82A3A"/>
    <w:rsid w:val="00CA1676"/>
    <w:rsid w:val="00CB68B8"/>
    <w:rsid w:val="00CB7496"/>
    <w:rsid w:val="00CC62A9"/>
    <w:rsid w:val="00CD2E22"/>
    <w:rsid w:val="00CE36F1"/>
    <w:rsid w:val="00CF6F37"/>
    <w:rsid w:val="00D022AF"/>
    <w:rsid w:val="00D070EB"/>
    <w:rsid w:val="00D17EF1"/>
    <w:rsid w:val="00D20826"/>
    <w:rsid w:val="00D3099B"/>
    <w:rsid w:val="00D51E19"/>
    <w:rsid w:val="00D54A76"/>
    <w:rsid w:val="00D655E7"/>
    <w:rsid w:val="00D76E29"/>
    <w:rsid w:val="00DB0FC6"/>
    <w:rsid w:val="00DB23A2"/>
    <w:rsid w:val="00DD394A"/>
    <w:rsid w:val="00DD6C1F"/>
    <w:rsid w:val="00DE0E50"/>
    <w:rsid w:val="00E07A6F"/>
    <w:rsid w:val="00E374F8"/>
    <w:rsid w:val="00E604A0"/>
    <w:rsid w:val="00E60C46"/>
    <w:rsid w:val="00E6209F"/>
    <w:rsid w:val="00E629CF"/>
    <w:rsid w:val="00E650DE"/>
    <w:rsid w:val="00E66AF6"/>
    <w:rsid w:val="00E74EDE"/>
    <w:rsid w:val="00E84077"/>
    <w:rsid w:val="00E91213"/>
    <w:rsid w:val="00EA1F50"/>
    <w:rsid w:val="00EA7F88"/>
    <w:rsid w:val="00EB2C1B"/>
    <w:rsid w:val="00EC3907"/>
    <w:rsid w:val="00EC3B7C"/>
    <w:rsid w:val="00EC47C0"/>
    <w:rsid w:val="00EC5DB6"/>
    <w:rsid w:val="00EE2BC9"/>
    <w:rsid w:val="00F04B58"/>
    <w:rsid w:val="00F0565F"/>
    <w:rsid w:val="00F05F84"/>
    <w:rsid w:val="00F15A13"/>
    <w:rsid w:val="00F407A9"/>
    <w:rsid w:val="00F54845"/>
    <w:rsid w:val="00F669AD"/>
    <w:rsid w:val="00F75EEF"/>
    <w:rsid w:val="00F76211"/>
    <w:rsid w:val="00F8308A"/>
    <w:rsid w:val="00F851C8"/>
    <w:rsid w:val="00F903F1"/>
    <w:rsid w:val="00F93C21"/>
    <w:rsid w:val="00F957FE"/>
    <w:rsid w:val="00FA1B5D"/>
    <w:rsid w:val="00FA4733"/>
    <w:rsid w:val="00FA5657"/>
    <w:rsid w:val="00FA587D"/>
    <w:rsid w:val="00FB68EE"/>
    <w:rsid w:val="00FD0662"/>
    <w:rsid w:val="00FE5997"/>
    <w:rsid w:val="00FE5ACB"/>
    <w:rsid w:val="00FE6643"/>
    <w:rsid w:val="00FF2276"/>
    <w:rsid w:val="00FF4138"/>
    <w:rsid w:val="46B17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7910D9C"/>
  <w15:chartTrackingRefBased/>
  <w15:docId w15:val="{D0A188EE-1FB5-4091-B8C3-E9666EAF0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C75"/>
    <w:rPr>
      <w:lang w:val="en-GB"/>
    </w:rPr>
  </w:style>
  <w:style w:type="paragraph" w:styleId="Heading1">
    <w:name w:val="heading 1"/>
    <w:basedOn w:val="Normal"/>
    <w:next w:val="Normal"/>
    <w:link w:val="Heading1Char"/>
    <w:qFormat/>
    <w:rsid w:val="007262A2"/>
    <w:pPr>
      <w:keepNext/>
      <w:spacing w:after="0" w:line="240" w:lineRule="auto"/>
      <w:jc w:val="right"/>
      <w:outlineLvl w:val="0"/>
    </w:pPr>
    <w:rPr>
      <w:rFonts w:ascii="Arial" w:hAnsi="Arial" w:eastAsia="Times" w:cs="Times New Roman"/>
      <w:i/>
      <w:color w:val="FFFFFF"/>
      <w:sz w:val="24"/>
      <w:szCs w:val="20"/>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653FD"/>
    <w:pPr>
      <w:ind w:left="720"/>
      <w:contextualSpacing/>
    </w:pPr>
  </w:style>
  <w:style w:type="character" w:styleId="Heading1Char" w:customStyle="1">
    <w:name w:val="Heading 1 Char"/>
    <w:basedOn w:val="DefaultParagraphFont"/>
    <w:link w:val="Heading1"/>
    <w:rsid w:val="007262A2"/>
    <w:rPr>
      <w:rFonts w:ascii="Arial" w:hAnsi="Arial" w:eastAsia="Times" w:cs="Times New Roman"/>
      <w:i/>
      <w:color w:val="FFFFFF"/>
      <w:sz w:val="24"/>
      <w:szCs w:val="20"/>
      <w:lang w:val="en-GB" w:eastAsia="en-GB"/>
    </w:rPr>
  </w:style>
  <w:style w:type="paragraph" w:styleId="BodyText3">
    <w:name w:val="Body Text 3"/>
    <w:basedOn w:val="Normal"/>
    <w:link w:val="BodyText3Char"/>
    <w:rsid w:val="007262A2"/>
    <w:pPr>
      <w:spacing w:after="0" w:line="240" w:lineRule="auto"/>
      <w:jc w:val="right"/>
    </w:pPr>
    <w:rPr>
      <w:rFonts w:ascii="Times" w:hAnsi="Times" w:eastAsia="Times" w:cs="Times New Roman"/>
      <w:b/>
      <w:szCs w:val="20"/>
      <w:lang w:eastAsia="en-GB"/>
    </w:rPr>
  </w:style>
  <w:style w:type="character" w:styleId="BodyText3Char" w:customStyle="1">
    <w:name w:val="Body Text 3 Char"/>
    <w:basedOn w:val="DefaultParagraphFont"/>
    <w:link w:val="BodyText3"/>
    <w:rsid w:val="007262A2"/>
    <w:rPr>
      <w:rFonts w:ascii="Times" w:hAnsi="Times" w:eastAsia="Times" w:cs="Times New Roman"/>
      <w:b/>
      <w:szCs w:val="20"/>
      <w:lang w:eastAsia="en-GB"/>
    </w:rPr>
  </w:style>
  <w:style w:type="table" w:styleId="TableGrid">
    <w:name w:val="Table Grid"/>
    <w:basedOn w:val="TableNormal"/>
    <w:uiPriority w:val="39"/>
    <w:rsid w:val="0094176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FootnoteText">
    <w:name w:val="footnote text"/>
    <w:basedOn w:val="Normal"/>
    <w:link w:val="FootnoteTextChar"/>
    <w:uiPriority w:val="99"/>
    <w:semiHidden/>
    <w:unhideWhenUsed/>
    <w:rsid w:val="00B80396"/>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B80396"/>
    <w:rPr>
      <w:sz w:val="20"/>
      <w:szCs w:val="20"/>
    </w:rPr>
  </w:style>
  <w:style w:type="character" w:styleId="FootnoteReference">
    <w:name w:val="footnote reference"/>
    <w:basedOn w:val="DefaultParagraphFont"/>
    <w:uiPriority w:val="99"/>
    <w:semiHidden/>
    <w:unhideWhenUsed/>
    <w:rsid w:val="00B80396"/>
    <w:rPr>
      <w:vertAlign w:val="superscript"/>
    </w:rPr>
  </w:style>
  <w:style w:type="paragraph" w:styleId="BalloonText">
    <w:name w:val="Balloon Text"/>
    <w:basedOn w:val="Normal"/>
    <w:link w:val="BalloonTextChar"/>
    <w:uiPriority w:val="99"/>
    <w:semiHidden/>
    <w:unhideWhenUsed/>
    <w:rsid w:val="004E455C"/>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E455C"/>
    <w:rPr>
      <w:rFonts w:ascii="Segoe UI" w:hAnsi="Segoe UI" w:cs="Segoe UI"/>
      <w:sz w:val="18"/>
      <w:szCs w:val="18"/>
    </w:rPr>
  </w:style>
  <w:style w:type="paragraph" w:styleId="Header">
    <w:name w:val="header"/>
    <w:basedOn w:val="Normal"/>
    <w:link w:val="HeaderChar"/>
    <w:uiPriority w:val="99"/>
    <w:unhideWhenUsed/>
    <w:rsid w:val="00966609"/>
    <w:pPr>
      <w:tabs>
        <w:tab w:val="center" w:pos="4513"/>
        <w:tab w:val="right" w:pos="9026"/>
      </w:tabs>
      <w:spacing w:after="0" w:line="240" w:lineRule="auto"/>
    </w:pPr>
  </w:style>
  <w:style w:type="character" w:styleId="HeaderChar" w:customStyle="1">
    <w:name w:val="Header Char"/>
    <w:basedOn w:val="DefaultParagraphFont"/>
    <w:link w:val="Header"/>
    <w:uiPriority w:val="99"/>
    <w:rsid w:val="00966609"/>
  </w:style>
  <w:style w:type="paragraph" w:styleId="Footer">
    <w:name w:val="footer"/>
    <w:basedOn w:val="Normal"/>
    <w:link w:val="FooterChar"/>
    <w:uiPriority w:val="99"/>
    <w:unhideWhenUsed/>
    <w:rsid w:val="00966609"/>
    <w:pPr>
      <w:tabs>
        <w:tab w:val="center" w:pos="4513"/>
        <w:tab w:val="right" w:pos="9026"/>
      </w:tabs>
      <w:spacing w:after="0" w:line="240" w:lineRule="auto"/>
    </w:pPr>
  </w:style>
  <w:style w:type="character" w:styleId="FooterChar" w:customStyle="1">
    <w:name w:val="Footer Char"/>
    <w:basedOn w:val="DefaultParagraphFont"/>
    <w:link w:val="Footer"/>
    <w:uiPriority w:val="99"/>
    <w:rsid w:val="00966609"/>
  </w:style>
  <w:style w:type="character" w:styleId="normaltextrun" w:customStyle="1">
    <w:name w:val="normaltextrun"/>
    <w:basedOn w:val="DefaultParagraphFont"/>
    <w:rsid w:val="006D48CD"/>
  </w:style>
  <w:style w:type="character" w:styleId="eop" w:customStyle="1">
    <w:name w:val="eop"/>
    <w:basedOn w:val="DefaultParagraphFont"/>
    <w:rsid w:val="006D48CD"/>
  </w:style>
  <w:style w:type="paragraph" w:styleId="Default" w:customStyle="1">
    <w:name w:val="Default"/>
    <w:rsid w:val="00A05C01"/>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12912">
      <w:bodyDiv w:val="1"/>
      <w:marLeft w:val="0"/>
      <w:marRight w:val="0"/>
      <w:marTop w:val="0"/>
      <w:marBottom w:val="0"/>
      <w:divBdr>
        <w:top w:val="none" w:sz="0" w:space="0" w:color="auto"/>
        <w:left w:val="none" w:sz="0" w:space="0" w:color="auto"/>
        <w:bottom w:val="none" w:sz="0" w:space="0" w:color="auto"/>
        <w:right w:val="none" w:sz="0" w:space="0" w:color="auto"/>
      </w:divBdr>
      <w:divsChild>
        <w:div w:id="1033195075">
          <w:marLeft w:val="0"/>
          <w:marRight w:val="0"/>
          <w:marTop w:val="0"/>
          <w:marBottom w:val="0"/>
          <w:divBdr>
            <w:top w:val="none" w:sz="0" w:space="0" w:color="auto"/>
            <w:left w:val="none" w:sz="0" w:space="0" w:color="auto"/>
            <w:bottom w:val="none" w:sz="0" w:space="0" w:color="auto"/>
            <w:right w:val="none" w:sz="0" w:space="0" w:color="auto"/>
          </w:divBdr>
          <w:divsChild>
            <w:div w:id="864027990">
              <w:marLeft w:val="0"/>
              <w:marRight w:val="0"/>
              <w:marTop w:val="0"/>
              <w:marBottom w:val="0"/>
              <w:divBdr>
                <w:top w:val="none" w:sz="0" w:space="0" w:color="auto"/>
                <w:left w:val="none" w:sz="0" w:space="0" w:color="auto"/>
                <w:bottom w:val="none" w:sz="0" w:space="0" w:color="auto"/>
                <w:right w:val="none" w:sz="0" w:space="0" w:color="auto"/>
              </w:divBdr>
              <w:divsChild>
                <w:div w:id="596404496">
                  <w:marLeft w:val="0"/>
                  <w:marRight w:val="0"/>
                  <w:marTop w:val="0"/>
                  <w:marBottom w:val="0"/>
                  <w:divBdr>
                    <w:top w:val="none" w:sz="0" w:space="0" w:color="auto"/>
                    <w:left w:val="none" w:sz="0" w:space="0" w:color="auto"/>
                    <w:bottom w:val="none" w:sz="0" w:space="0" w:color="auto"/>
                    <w:right w:val="none" w:sz="0" w:space="0" w:color="auto"/>
                  </w:divBdr>
                  <w:divsChild>
                    <w:div w:id="502208791">
                      <w:marLeft w:val="0"/>
                      <w:marRight w:val="0"/>
                      <w:marTop w:val="0"/>
                      <w:marBottom w:val="0"/>
                      <w:divBdr>
                        <w:top w:val="none" w:sz="0" w:space="0" w:color="auto"/>
                        <w:left w:val="none" w:sz="0" w:space="0" w:color="auto"/>
                        <w:bottom w:val="none" w:sz="0" w:space="0" w:color="auto"/>
                        <w:right w:val="none" w:sz="0" w:space="0" w:color="auto"/>
                      </w:divBdr>
                      <w:divsChild>
                        <w:div w:id="422144198">
                          <w:marLeft w:val="0"/>
                          <w:marRight w:val="0"/>
                          <w:marTop w:val="0"/>
                          <w:marBottom w:val="0"/>
                          <w:divBdr>
                            <w:top w:val="none" w:sz="0" w:space="0" w:color="auto"/>
                            <w:left w:val="none" w:sz="0" w:space="0" w:color="auto"/>
                            <w:bottom w:val="none" w:sz="0" w:space="0" w:color="auto"/>
                            <w:right w:val="none" w:sz="0" w:space="0" w:color="auto"/>
                          </w:divBdr>
                          <w:divsChild>
                            <w:div w:id="299501926">
                              <w:marLeft w:val="15"/>
                              <w:marRight w:val="195"/>
                              <w:marTop w:val="0"/>
                              <w:marBottom w:val="0"/>
                              <w:divBdr>
                                <w:top w:val="none" w:sz="0" w:space="0" w:color="auto"/>
                                <w:left w:val="none" w:sz="0" w:space="0" w:color="auto"/>
                                <w:bottom w:val="none" w:sz="0" w:space="0" w:color="auto"/>
                                <w:right w:val="none" w:sz="0" w:space="0" w:color="auto"/>
                              </w:divBdr>
                              <w:divsChild>
                                <w:div w:id="1539702848">
                                  <w:marLeft w:val="0"/>
                                  <w:marRight w:val="0"/>
                                  <w:marTop w:val="0"/>
                                  <w:marBottom w:val="0"/>
                                  <w:divBdr>
                                    <w:top w:val="none" w:sz="0" w:space="0" w:color="auto"/>
                                    <w:left w:val="none" w:sz="0" w:space="0" w:color="auto"/>
                                    <w:bottom w:val="none" w:sz="0" w:space="0" w:color="auto"/>
                                    <w:right w:val="none" w:sz="0" w:space="0" w:color="auto"/>
                                  </w:divBdr>
                                  <w:divsChild>
                                    <w:div w:id="668751754">
                                      <w:marLeft w:val="0"/>
                                      <w:marRight w:val="0"/>
                                      <w:marTop w:val="0"/>
                                      <w:marBottom w:val="0"/>
                                      <w:divBdr>
                                        <w:top w:val="none" w:sz="0" w:space="0" w:color="auto"/>
                                        <w:left w:val="none" w:sz="0" w:space="0" w:color="auto"/>
                                        <w:bottom w:val="none" w:sz="0" w:space="0" w:color="auto"/>
                                        <w:right w:val="none" w:sz="0" w:space="0" w:color="auto"/>
                                      </w:divBdr>
                                      <w:divsChild>
                                        <w:div w:id="893153008">
                                          <w:marLeft w:val="0"/>
                                          <w:marRight w:val="0"/>
                                          <w:marTop w:val="0"/>
                                          <w:marBottom w:val="0"/>
                                          <w:divBdr>
                                            <w:top w:val="none" w:sz="0" w:space="0" w:color="auto"/>
                                            <w:left w:val="none" w:sz="0" w:space="0" w:color="auto"/>
                                            <w:bottom w:val="none" w:sz="0" w:space="0" w:color="auto"/>
                                            <w:right w:val="none" w:sz="0" w:space="0" w:color="auto"/>
                                          </w:divBdr>
                                          <w:divsChild>
                                            <w:div w:id="115493871">
                                              <w:marLeft w:val="0"/>
                                              <w:marRight w:val="0"/>
                                              <w:marTop w:val="0"/>
                                              <w:marBottom w:val="0"/>
                                              <w:divBdr>
                                                <w:top w:val="none" w:sz="0" w:space="0" w:color="auto"/>
                                                <w:left w:val="none" w:sz="0" w:space="0" w:color="auto"/>
                                                <w:bottom w:val="none" w:sz="0" w:space="0" w:color="auto"/>
                                                <w:right w:val="none" w:sz="0" w:space="0" w:color="auto"/>
                                              </w:divBdr>
                                              <w:divsChild>
                                                <w:div w:id="1240016755">
                                                  <w:marLeft w:val="0"/>
                                                  <w:marRight w:val="0"/>
                                                  <w:marTop w:val="0"/>
                                                  <w:marBottom w:val="0"/>
                                                  <w:divBdr>
                                                    <w:top w:val="none" w:sz="0" w:space="0" w:color="auto"/>
                                                    <w:left w:val="none" w:sz="0" w:space="0" w:color="auto"/>
                                                    <w:bottom w:val="none" w:sz="0" w:space="0" w:color="auto"/>
                                                    <w:right w:val="none" w:sz="0" w:space="0" w:color="auto"/>
                                                  </w:divBdr>
                                                  <w:divsChild>
                                                    <w:div w:id="350766447">
                                                      <w:marLeft w:val="0"/>
                                                      <w:marRight w:val="0"/>
                                                      <w:marTop w:val="0"/>
                                                      <w:marBottom w:val="0"/>
                                                      <w:divBdr>
                                                        <w:top w:val="none" w:sz="0" w:space="0" w:color="auto"/>
                                                        <w:left w:val="none" w:sz="0" w:space="0" w:color="auto"/>
                                                        <w:bottom w:val="none" w:sz="0" w:space="0" w:color="auto"/>
                                                        <w:right w:val="none" w:sz="0" w:space="0" w:color="auto"/>
                                                      </w:divBdr>
                                                      <w:divsChild>
                                                        <w:div w:id="272054283">
                                                          <w:marLeft w:val="0"/>
                                                          <w:marRight w:val="0"/>
                                                          <w:marTop w:val="0"/>
                                                          <w:marBottom w:val="0"/>
                                                          <w:divBdr>
                                                            <w:top w:val="none" w:sz="0" w:space="0" w:color="auto"/>
                                                            <w:left w:val="none" w:sz="0" w:space="0" w:color="auto"/>
                                                            <w:bottom w:val="none" w:sz="0" w:space="0" w:color="auto"/>
                                                            <w:right w:val="none" w:sz="0" w:space="0" w:color="auto"/>
                                                          </w:divBdr>
                                                          <w:divsChild>
                                                            <w:div w:id="1272513163">
                                                              <w:marLeft w:val="0"/>
                                                              <w:marRight w:val="0"/>
                                                              <w:marTop w:val="0"/>
                                                              <w:marBottom w:val="0"/>
                                                              <w:divBdr>
                                                                <w:top w:val="none" w:sz="0" w:space="0" w:color="auto"/>
                                                                <w:left w:val="none" w:sz="0" w:space="0" w:color="auto"/>
                                                                <w:bottom w:val="none" w:sz="0" w:space="0" w:color="auto"/>
                                                                <w:right w:val="none" w:sz="0" w:space="0" w:color="auto"/>
                                                              </w:divBdr>
                                                              <w:divsChild>
                                                                <w:div w:id="1398355113">
                                                                  <w:marLeft w:val="0"/>
                                                                  <w:marRight w:val="0"/>
                                                                  <w:marTop w:val="0"/>
                                                                  <w:marBottom w:val="0"/>
                                                                  <w:divBdr>
                                                                    <w:top w:val="none" w:sz="0" w:space="0" w:color="auto"/>
                                                                    <w:left w:val="none" w:sz="0" w:space="0" w:color="auto"/>
                                                                    <w:bottom w:val="none" w:sz="0" w:space="0" w:color="auto"/>
                                                                    <w:right w:val="none" w:sz="0" w:space="0" w:color="auto"/>
                                                                  </w:divBdr>
                                                                  <w:divsChild>
                                                                    <w:div w:id="1634360585">
                                                                      <w:marLeft w:val="405"/>
                                                                      <w:marRight w:val="0"/>
                                                                      <w:marTop w:val="0"/>
                                                                      <w:marBottom w:val="0"/>
                                                                      <w:divBdr>
                                                                        <w:top w:val="none" w:sz="0" w:space="0" w:color="auto"/>
                                                                        <w:left w:val="none" w:sz="0" w:space="0" w:color="auto"/>
                                                                        <w:bottom w:val="none" w:sz="0" w:space="0" w:color="auto"/>
                                                                        <w:right w:val="none" w:sz="0" w:space="0" w:color="auto"/>
                                                                      </w:divBdr>
                                                                      <w:divsChild>
                                                                        <w:div w:id="666634253">
                                                                          <w:marLeft w:val="0"/>
                                                                          <w:marRight w:val="0"/>
                                                                          <w:marTop w:val="0"/>
                                                                          <w:marBottom w:val="0"/>
                                                                          <w:divBdr>
                                                                            <w:top w:val="none" w:sz="0" w:space="0" w:color="auto"/>
                                                                            <w:left w:val="none" w:sz="0" w:space="0" w:color="auto"/>
                                                                            <w:bottom w:val="none" w:sz="0" w:space="0" w:color="auto"/>
                                                                            <w:right w:val="none" w:sz="0" w:space="0" w:color="auto"/>
                                                                          </w:divBdr>
                                                                          <w:divsChild>
                                                                            <w:div w:id="157423065">
                                                                              <w:marLeft w:val="0"/>
                                                                              <w:marRight w:val="0"/>
                                                                              <w:marTop w:val="0"/>
                                                                              <w:marBottom w:val="0"/>
                                                                              <w:divBdr>
                                                                                <w:top w:val="none" w:sz="0" w:space="0" w:color="auto"/>
                                                                                <w:left w:val="none" w:sz="0" w:space="0" w:color="auto"/>
                                                                                <w:bottom w:val="none" w:sz="0" w:space="0" w:color="auto"/>
                                                                                <w:right w:val="none" w:sz="0" w:space="0" w:color="auto"/>
                                                                              </w:divBdr>
                                                                              <w:divsChild>
                                                                                <w:div w:id="1560171062">
                                                                                  <w:marLeft w:val="0"/>
                                                                                  <w:marRight w:val="0"/>
                                                                                  <w:marTop w:val="0"/>
                                                                                  <w:marBottom w:val="0"/>
                                                                                  <w:divBdr>
                                                                                    <w:top w:val="none" w:sz="0" w:space="0" w:color="auto"/>
                                                                                    <w:left w:val="none" w:sz="0" w:space="0" w:color="auto"/>
                                                                                    <w:bottom w:val="none" w:sz="0" w:space="0" w:color="auto"/>
                                                                                    <w:right w:val="none" w:sz="0" w:space="0" w:color="auto"/>
                                                                                  </w:divBdr>
                                                                                  <w:divsChild>
                                                                                    <w:div w:id="849831895">
                                                                                      <w:marLeft w:val="0"/>
                                                                                      <w:marRight w:val="0"/>
                                                                                      <w:marTop w:val="0"/>
                                                                                      <w:marBottom w:val="0"/>
                                                                                      <w:divBdr>
                                                                                        <w:top w:val="none" w:sz="0" w:space="0" w:color="auto"/>
                                                                                        <w:left w:val="none" w:sz="0" w:space="0" w:color="auto"/>
                                                                                        <w:bottom w:val="none" w:sz="0" w:space="0" w:color="auto"/>
                                                                                        <w:right w:val="none" w:sz="0" w:space="0" w:color="auto"/>
                                                                                      </w:divBdr>
                                                                                      <w:divsChild>
                                                                                        <w:div w:id="474373858">
                                                                                          <w:marLeft w:val="0"/>
                                                                                          <w:marRight w:val="0"/>
                                                                                          <w:marTop w:val="0"/>
                                                                                          <w:marBottom w:val="0"/>
                                                                                          <w:divBdr>
                                                                                            <w:top w:val="none" w:sz="0" w:space="0" w:color="auto"/>
                                                                                            <w:left w:val="none" w:sz="0" w:space="0" w:color="auto"/>
                                                                                            <w:bottom w:val="none" w:sz="0" w:space="0" w:color="auto"/>
                                                                                            <w:right w:val="none" w:sz="0" w:space="0" w:color="auto"/>
                                                                                          </w:divBdr>
                                                                                          <w:divsChild>
                                                                                            <w:div w:id="182522208">
                                                                                              <w:marLeft w:val="0"/>
                                                                                              <w:marRight w:val="0"/>
                                                                                              <w:marTop w:val="0"/>
                                                                                              <w:marBottom w:val="0"/>
                                                                                              <w:divBdr>
                                                                                                <w:top w:val="none" w:sz="0" w:space="0" w:color="auto"/>
                                                                                                <w:left w:val="none" w:sz="0" w:space="0" w:color="auto"/>
                                                                                                <w:bottom w:val="none" w:sz="0" w:space="0" w:color="auto"/>
                                                                                                <w:right w:val="none" w:sz="0" w:space="0" w:color="auto"/>
                                                                                              </w:divBdr>
                                                                                              <w:divsChild>
                                                                                                <w:div w:id="1545604851">
                                                                                                  <w:marLeft w:val="0"/>
                                                                                                  <w:marRight w:val="0"/>
                                                                                                  <w:marTop w:val="0"/>
                                                                                                  <w:marBottom w:val="0"/>
                                                                                                  <w:divBdr>
                                                                                                    <w:top w:val="none" w:sz="0" w:space="0" w:color="auto"/>
                                                                                                    <w:left w:val="single" w:sz="12" w:space="8" w:color="auto"/>
                                                                                                    <w:bottom w:val="none" w:sz="0" w:space="0" w:color="auto"/>
                                                                                                    <w:right w:val="none" w:sz="0" w:space="0" w:color="auto"/>
                                                                                                  </w:divBdr>
                                                                                                  <w:divsChild>
                                                                                                    <w:div w:id="1649943380">
                                                                                                      <w:marLeft w:val="0"/>
                                                                                                      <w:marRight w:val="0"/>
                                                                                                      <w:marTop w:val="0"/>
                                                                                                      <w:marBottom w:val="0"/>
                                                                                                      <w:divBdr>
                                                                                                        <w:top w:val="none" w:sz="0" w:space="0" w:color="auto"/>
                                                                                                        <w:left w:val="none" w:sz="0" w:space="0" w:color="auto"/>
                                                                                                        <w:bottom w:val="none" w:sz="0" w:space="0" w:color="auto"/>
                                                                                                        <w:right w:val="none" w:sz="0" w:space="0" w:color="auto"/>
                                                                                                      </w:divBdr>
                                                                                                      <w:divsChild>
                                                                                                        <w:div w:id="172308857">
                                                                                                          <w:marLeft w:val="0"/>
                                                                                                          <w:marRight w:val="0"/>
                                                                                                          <w:marTop w:val="0"/>
                                                                                                          <w:marBottom w:val="0"/>
                                                                                                          <w:divBdr>
                                                                                                            <w:top w:val="none" w:sz="0" w:space="0" w:color="auto"/>
                                                                                                            <w:left w:val="none" w:sz="0" w:space="0" w:color="auto"/>
                                                                                                            <w:bottom w:val="none" w:sz="0" w:space="0" w:color="auto"/>
                                                                                                            <w:right w:val="none" w:sz="0" w:space="0" w:color="auto"/>
                                                                                                          </w:divBdr>
                                                                                                          <w:divsChild>
                                                                                                            <w:div w:id="1483154658">
                                                                                                              <w:marLeft w:val="0"/>
                                                                                                              <w:marRight w:val="0"/>
                                                                                                              <w:marTop w:val="0"/>
                                                                                                              <w:marBottom w:val="0"/>
                                                                                                              <w:divBdr>
                                                                                                                <w:top w:val="none" w:sz="0" w:space="0" w:color="auto"/>
                                                                                                                <w:left w:val="none" w:sz="0" w:space="0" w:color="auto"/>
                                                                                                                <w:bottom w:val="none" w:sz="0" w:space="0" w:color="auto"/>
                                                                                                                <w:right w:val="none" w:sz="0" w:space="0" w:color="auto"/>
                                                                                                              </w:divBdr>
                                                                                                              <w:divsChild>
                                                                                                                <w:div w:id="1778404793">
                                                                                                                  <w:marLeft w:val="0"/>
                                                                                                                  <w:marRight w:val="0"/>
                                                                                                                  <w:marTop w:val="0"/>
                                                                                                                  <w:marBottom w:val="0"/>
                                                                                                                  <w:divBdr>
                                                                                                                    <w:top w:val="none" w:sz="0" w:space="0" w:color="auto"/>
                                                                                                                    <w:left w:val="none" w:sz="0" w:space="0" w:color="auto"/>
                                                                                                                    <w:bottom w:val="none" w:sz="0" w:space="0" w:color="auto"/>
                                                                                                                    <w:right w:val="none" w:sz="0" w:space="0" w:color="auto"/>
                                                                                                                  </w:divBdr>
                                                                                                                  <w:divsChild>
                                                                                                                    <w:div w:id="25834522">
                                                                                                                      <w:marLeft w:val="0"/>
                                                                                                                      <w:marRight w:val="0"/>
                                                                                                                      <w:marTop w:val="0"/>
                                                                                                                      <w:marBottom w:val="0"/>
                                                                                                                      <w:divBdr>
                                                                                                                        <w:top w:val="none" w:sz="0" w:space="0" w:color="auto"/>
                                                                                                                        <w:left w:val="none" w:sz="0" w:space="0" w:color="auto"/>
                                                                                                                        <w:bottom w:val="none" w:sz="0" w:space="0" w:color="auto"/>
                                                                                                                        <w:right w:val="none" w:sz="0" w:space="0" w:color="auto"/>
                                                                                                                      </w:divBdr>
                                                                                                                      <w:divsChild>
                                                                                                                        <w:div w:id="2099128723">
                                                                                                                          <w:marLeft w:val="0"/>
                                                                                                                          <w:marRight w:val="0"/>
                                                                                                                          <w:marTop w:val="0"/>
                                                                                                                          <w:marBottom w:val="0"/>
                                                                                                                          <w:divBdr>
                                                                                                                            <w:top w:val="none" w:sz="0" w:space="0" w:color="auto"/>
                                                                                                                            <w:left w:val="none" w:sz="0" w:space="0" w:color="auto"/>
                                                                                                                            <w:bottom w:val="none" w:sz="0" w:space="0" w:color="auto"/>
                                                                                                                            <w:right w:val="none" w:sz="0" w:space="0" w:color="auto"/>
                                                                                                                          </w:divBdr>
                                                                                                                          <w:divsChild>
                                                                                                                            <w:div w:id="1133906491">
                                                                                                                              <w:marLeft w:val="0"/>
                                                                                                                              <w:marRight w:val="0"/>
                                                                                                                              <w:marTop w:val="0"/>
                                                                                                                              <w:marBottom w:val="0"/>
                                                                                                                              <w:divBdr>
                                                                                                                                <w:top w:val="none" w:sz="0" w:space="0" w:color="auto"/>
                                                                                                                                <w:left w:val="none" w:sz="0" w:space="0" w:color="auto"/>
                                                                                                                                <w:bottom w:val="none" w:sz="0" w:space="0" w:color="auto"/>
                                                                                                                                <w:right w:val="none" w:sz="0" w:space="0" w:color="auto"/>
                                                                                                                              </w:divBdr>
                                                                                                                            </w:div>
                                                                                                                            <w:div w:id="250428366">
                                                                                                                              <w:marLeft w:val="0"/>
                                                                                                                              <w:marRight w:val="0"/>
                                                                                                                              <w:marTop w:val="0"/>
                                                                                                                              <w:marBottom w:val="0"/>
                                                                                                                              <w:divBdr>
                                                                                                                                <w:top w:val="none" w:sz="0" w:space="0" w:color="auto"/>
                                                                                                                                <w:left w:val="none" w:sz="0" w:space="0" w:color="auto"/>
                                                                                                                                <w:bottom w:val="none" w:sz="0" w:space="0" w:color="auto"/>
                                                                                                                                <w:right w:val="none" w:sz="0" w:space="0" w:color="auto"/>
                                                                                                                              </w:divBdr>
                                                                                                                            </w:div>
                                                                                                                            <w:div w:id="2020081717">
                                                                                                                              <w:marLeft w:val="0"/>
                                                                                                                              <w:marRight w:val="0"/>
                                                                                                                              <w:marTop w:val="0"/>
                                                                                                                              <w:marBottom w:val="0"/>
                                                                                                                              <w:divBdr>
                                                                                                                                <w:top w:val="none" w:sz="0" w:space="0" w:color="auto"/>
                                                                                                                                <w:left w:val="none" w:sz="0" w:space="0" w:color="auto"/>
                                                                                                                                <w:bottom w:val="none" w:sz="0" w:space="0" w:color="auto"/>
                                                                                                                                <w:right w:val="none" w:sz="0" w:space="0" w:color="auto"/>
                                                                                                                              </w:divBdr>
                                                                                                                            </w:div>
                                                                                                                            <w:div w:id="2027050915">
                                                                                                                              <w:marLeft w:val="0"/>
                                                                                                                              <w:marRight w:val="0"/>
                                                                                                                              <w:marTop w:val="0"/>
                                                                                                                              <w:marBottom w:val="0"/>
                                                                                                                              <w:divBdr>
                                                                                                                                <w:top w:val="none" w:sz="0" w:space="0" w:color="auto"/>
                                                                                                                                <w:left w:val="none" w:sz="0" w:space="0" w:color="auto"/>
                                                                                                                                <w:bottom w:val="none" w:sz="0" w:space="0" w:color="auto"/>
                                                                                                                                <w:right w:val="none" w:sz="0" w:space="0" w:color="auto"/>
                                                                                                                              </w:divBdr>
                                                                                                                            </w:div>
                                                                                                                            <w:div w:id="839084975">
                                                                                                                              <w:marLeft w:val="0"/>
                                                                                                                              <w:marRight w:val="0"/>
                                                                                                                              <w:marTop w:val="0"/>
                                                                                                                              <w:marBottom w:val="0"/>
                                                                                                                              <w:divBdr>
                                                                                                                                <w:top w:val="none" w:sz="0" w:space="0" w:color="auto"/>
                                                                                                                                <w:left w:val="none" w:sz="0" w:space="0" w:color="auto"/>
                                                                                                                                <w:bottom w:val="none" w:sz="0" w:space="0" w:color="auto"/>
                                                                                                                                <w:right w:val="none" w:sz="0" w:space="0" w:color="auto"/>
                                                                                                                              </w:divBdr>
                                                                                                                            </w:div>
                                                                                                                            <w:div w:id="809176556">
                                                                                                                              <w:marLeft w:val="0"/>
                                                                                                                              <w:marRight w:val="0"/>
                                                                                                                              <w:marTop w:val="0"/>
                                                                                                                              <w:marBottom w:val="0"/>
                                                                                                                              <w:divBdr>
                                                                                                                                <w:top w:val="none" w:sz="0" w:space="0" w:color="auto"/>
                                                                                                                                <w:left w:val="none" w:sz="0" w:space="0" w:color="auto"/>
                                                                                                                                <w:bottom w:val="none" w:sz="0" w:space="0" w:color="auto"/>
                                                                                                                                <w:right w:val="none" w:sz="0" w:space="0" w:color="auto"/>
                                                                                                                              </w:divBdr>
                                                                                                                            </w:div>
                                                                                                                            <w:div w:id="544875255">
                                                                                                                              <w:marLeft w:val="0"/>
                                                                                                                              <w:marRight w:val="0"/>
                                                                                                                              <w:marTop w:val="0"/>
                                                                                                                              <w:marBottom w:val="0"/>
                                                                                                                              <w:divBdr>
                                                                                                                                <w:top w:val="none" w:sz="0" w:space="0" w:color="auto"/>
                                                                                                                                <w:left w:val="none" w:sz="0" w:space="0" w:color="auto"/>
                                                                                                                                <w:bottom w:val="none" w:sz="0" w:space="0" w:color="auto"/>
                                                                                                                                <w:right w:val="none" w:sz="0" w:space="0" w:color="auto"/>
                                                                                                                              </w:divBdr>
                                                                                                                            </w:div>
                                                                                                                            <w:div w:id="8682624">
                                                                                                                              <w:marLeft w:val="0"/>
                                                                                                                              <w:marRight w:val="0"/>
                                                                                                                              <w:marTop w:val="0"/>
                                                                                                                              <w:marBottom w:val="0"/>
                                                                                                                              <w:divBdr>
                                                                                                                                <w:top w:val="none" w:sz="0" w:space="0" w:color="auto"/>
                                                                                                                                <w:left w:val="none" w:sz="0" w:space="0" w:color="auto"/>
                                                                                                                                <w:bottom w:val="none" w:sz="0" w:space="0" w:color="auto"/>
                                                                                                                                <w:right w:val="none" w:sz="0" w:space="0" w:color="auto"/>
                                                                                                                              </w:divBdr>
                                                                                                                            </w:div>
                                                                                                                            <w:div w:id="1995139968">
                                                                                                                              <w:marLeft w:val="0"/>
                                                                                                                              <w:marRight w:val="0"/>
                                                                                                                              <w:marTop w:val="0"/>
                                                                                                                              <w:marBottom w:val="0"/>
                                                                                                                              <w:divBdr>
                                                                                                                                <w:top w:val="none" w:sz="0" w:space="0" w:color="auto"/>
                                                                                                                                <w:left w:val="none" w:sz="0" w:space="0" w:color="auto"/>
                                                                                                                                <w:bottom w:val="none" w:sz="0" w:space="0" w:color="auto"/>
                                                                                                                                <w:right w:val="none" w:sz="0" w:space="0" w:color="auto"/>
                                                                                                                              </w:divBdr>
                                                                                                                            </w:div>
                                                                                                                            <w:div w:id="791632428">
                                                                                                                              <w:marLeft w:val="0"/>
                                                                                                                              <w:marRight w:val="0"/>
                                                                                                                              <w:marTop w:val="0"/>
                                                                                                                              <w:marBottom w:val="0"/>
                                                                                                                              <w:divBdr>
                                                                                                                                <w:top w:val="none" w:sz="0" w:space="0" w:color="auto"/>
                                                                                                                                <w:left w:val="none" w:sz="0" w:space="0" w:color="auto"/>
                                                                                                                                <w:bottom w:val="none" w:sz="0" w:space="0" w:color="auto"/>
                                                                                                                                <w:right w:val="none" w:sz="0" w:space="0" w:color="auto"/>
                                                                                                                              </w:divBdr>
                                                                                                                            </w:div>
                                                                                                                            <w:div w:id="1943609707">
                                                                                                                              <w:marLeft w:val="0"/>
                                                                                                                              <w:marRight w:val="0"/>
                                                                                                                              <w:marTop w:val="0"/>
                                                                                                                              <w:marBottom w:val="0"/>
                                                                                                                              <w:divBdr>
                                                                                                                                <w:top w:val="none" w:sz="0" w:space="0" w:color="auto"/>
                                                                                                                                <w:left w:val="none" w:sz="0" w:space="0" w:color="auto"/>
                                                                                                                                <w:bottom w:val="none" w:sz="0" w:space="0" w:color="auto"/>
                                                                                                                                <w:right w:val="none" w:sz="0" w:space="0" w:color="auto"/>
                                                                                                                              </w:divBdr>
                                                                                                                            </w:div>
                                                                                                                            <w:div w:id="6360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wmf"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numbering" Target="numbering.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footer" Target="footer3.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image" Target="media/image2.jpeg" Id="rId9" /><Relationship Type="http://schemas.openxmlformats.org/officeDocument/2006/relationships/header" Target="header3.xml" Id="rId14" /><Relationship Type="http://schemas.openxmlformats.org/officeDocument/2006/relationships/glossaryDocument" Target="/word/glossary/document.xml" Id="Re88f0fbe8159478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1f408022-f692-4fa7-ad2b-fdecb5af0c4f}"/>
      </w:docPartPr>
      <w:docPartBody>
        <w:p w14:paraId="749EC72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2A53-A3BA-4E80-8A47-199CC39E5D7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FitzGerald, Alex</dc:creator>
  <keywords/>
  <dc:description/>
  <lastModifiedBy>FitzGerald, Alex</lastModifiedBy>
  <revision>13</revision>
  <lastPrinted>2018-02-08T11:55:00.0000000Z</lastPrinted>
  <dcterms:created xsi:type="dcterms:W3CDTF">2019-05-29T09:18:00.0000000Z</dcterms:created>
  <dcterms:modified xsi:type="dcterms:W3CDTF">2019-06-20T15:17:26.5378652Z</dcterms:modified>
</coreProperties>
</file>