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6F9FC" w14:textId="77777777" w:rsidR="009218F2" w:rsidRPr="00A1797B" w:rsidRDefault="009218F2" w:rsidP="009218F2">
      <w:pPr>
        <w:pStyle w:val="Title"/>
        <w:spacing w:before="360" w:after="240"/>
        <w:contextualSpacing w:val="0"/>
        <w:jc w:val="center"/>
        <w:rPr>
          <w:rFonts w:ascii="Arial" w:hAnsi="Arial" w:cs="Arial"/>
          <w:b/>
          <w:color w:val="2E74B5" w:themeColor="accent1" w:themeShade="BF"/>
          <w:sz w:val="96"/>
          <w:szCs w:val="96"/>
        </w:rPr>
      </w:pPr>
      <w:r w:rsidRPr="00A1797B">
        <w:rPr>
          <w:rFonts w:ascii="Arial" w:hAnsi="Arial" w:cs="Arial"/>
          <w:b/>
          <w:color w:val="2E74B5" w:themeColor="accent1" w:themeShade="BF"/>
          <w:sz w:val="96"/>
          <w:szCs w:val="96"/>
        </w:rPr>
        <w:t>GENDER PAY GAP REPORT</w:t>
      </w:r>
    </w:p>
    <w:p w14:paraId="6E2B7E36" w14:textId="6AFF8188" w:rsidR="00670A2C" w:rsidRPr="00A1797B" w:rsidRDefault="009218F2" w:rsidP="00A1797B">
      <w:pPr>
        <w:spacing w:before="360" w:after="5400"/>
        <w:jc w:val="center"/>
        <w:rPr>
          <w:rFonts w:ascii="Arial" w:hAnsi="Arial" w:cs="Arial"/>
          <w:b/>
          <w:sz w:val="96"/>
          <w:szCs w:val="96"/>
        </w:rPr>
      </w:pPr>
      <w:r w:rsidRPr="00A1797B">
        <w:rPr>
          <w:rFonts w:ascii="Arial" w:hAnsi="Arial" w:cs="Arial"/>
          <w:b/>
          <w:color w:val="2E74B5" w:themeColor="accent1" w:themeShade="BF"/>
          <w:sz w:val="96"/>
          <w:szCs w:val="96"/>
        </w:rPr>
        <w:t>2022</w:t>
      </w:r>
      <w:r w:rsidR="00370DBB" w:rsidRPr="00A1797B">
        <w:rPr>
          <w:rFonts w:ascii="Arial" w:hAnsi="Arial" w:cs="Arial"/>
          <w:b/>
          <w:bCs/>
          <w:color w:val="2E74B5" w:themeColor="accent1" w:themeShade="BF"/>
          <w:sz w:val="96"/>
          <w:szCs w:val="96"/>
        </w:rPr>
        <w:t xml:space="preserve"> </w:t>
      </w:r>
    </w:p>
    <w:p w14:paraId="0DFD689D" w14:textId="77777777" w:rsidR="00A1797B" w:rsidRDefault="00821DD3" w:rsidP="009218F2">
      <w:pPr>
        <w:jc w:val="center"/>
        <w:rPr>
          <w:rFonts w:ascii="Arial" w:hAnsi="Arial" w:cs="Arial"/>
          <w:b/>
          <w:bCs/>
          <w:sz w:val="56"/>
          <w:szCs w:val="56"/>
        </w:rPr>
      </w:pPr>
      <w:r>
        <w:rPr>
          <w:noProof/>
          <w:lang w:eastAsia="en-GB"/>
        </w:rPr>
        <w:drawing>
          <wp:inline distT="0" distB="0" distL="0" distR="0" wp14:anchorId="7633EB93" wp14:editId="55FC51E9">
            <wp:extent cx="3218967" cy="1609483"/>
            <wp:effectExtent l="0" t="0" r="635" b="0"/>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3218967" cy="1609483"/>
                    </a:xfrm>
                    <a:prstGeom prst="rect">
                      <a:avLst/>
                    </a:prstGeom>
                  </pic:spPr>
                </pic:pic>
              </a:graphicData>
            </a:graphic>
          </wp:inline>
        </w:drawing>
      </w:r>
    </w:p>
    <w:p w14:paraId="08662028" w14:textId="707685F1" w:rsidR="009218F2" w:rsidRDefault="009218F2" w:rsidP="009218F2">
      <w:pPr>
        <w:jc w:val="center"/>
        <w:rPr>
          <w:rFonts w:ascii="Arial" w:hAnsi="Arial" w:cs="Arial"/>
          <w:b/>
          <w:bCs/>
          <w:sz w:val="56"/>
          <w:szCs w:val="56"/>
        </w:rPr>
      </w:pPr>
      <w:r>
        <w:rPr>
          <w:rFonts w:ascii="Arial" w:hAnsi="Arial" w:cs="Arial"/>
          <w:b/>
          <w:bCs/>
          <w:sz w:val="56"/>
          <w:szCs w:val="56"/>
        </w:rPr>
        <w:br w:type="page"/>
      </w:r>
    </w:p>
    <w:p w14:paraId="0B79EFC8" w14:textId="70BEA074" w:rsidR="00670A2C" w:rsidRPr="00A1797B" w:rsidRDefault="00670A2C" w:rsidP="00A1797B">
      <w:pPr>
        <w:pStyle w:val="Heading1"/>
        <w:shd w:val="clear" w:color="auto" w:fill="DEEAF6" w:themeFill="accent1" w:themeFillTint="33"/>
        <w:spacing w:before="0" w:after="240"/>
        <w:rPr>
          <w:rFonts w:ascii="Arial" w:hAnsi="Arial" w:cs="Arial"/>
          <w:b/>
          <w:color w:val="auto"/>
          <w:sz w:val="26"/>
          <w:szCs w:val="26"/>
        </w:rPr>
      </w:pPr>
      <w:r w:rsidRPr="00A1797B">
        <w:rPr>
          <w:rFonts w:ascii="Arial" w:hAnsi="Arial" w:cs="Arial"/>
          <w:b/>
          <w:color w:val="auto"/>
          <w:sz w:val="26"/>
          <w:szCs w:val="26"/>
        </w:rPr>
        <w:t>Introduction</w:t>
      </w:r>
    </w:p>
    <w:p w14:paraId="0238D824" w14:textId="49C0FB79" w:rsidR="00B336AD" w:rsidRDefault="00B336AD" w:rsidP="00A1797B">
      <w:pPr>
        <w:spacing w:after="160"/>
        <w:rPr>
          <w:rFonts w:ascii="Arial" w:hAnsi="Arial" w:cs="Arial"/>
          <w:sz w:val="24"/>
          <w:szCs w:val="24"/>
        </w:rPr>
      </w:pPr>
      <w:r w:rsidRPr="0046664A">
        <w:rPr>
          <w:rFonts w:ascii="Arial" w:hAnsi="Arial" w:cs="Arial"/>
          <w:sz w:val="24"/>
          <w:szCs w:val="24"/>
        </w:rPr>
        <w:t>The Government requires all employers across both the public and private sectors with 250 or more employees to publish their gender pay gap information. The Government’s ambition is to ‘eliminate the gender pay gap within a generation’. Public sector employers are required to publish their information by 30 March, and annually thereafter using a snapshot of the previous March data.</w:t>
      </w:r>
      <w:r w:rsidR="00270E31" w:rsidRPr="0046664A">
        <w:rPr>
          <w:rFonts w:ascii="Arial" w:hAnsi="Arial" w:cs="Arial"/>
          <w:sz w:val="24"/>
          <w:szCs w:val="24"/>
        </w:rPr>
        <w:t xml:space="preserve"> Although Allerdale</w:t>
      </w:r>
      <w:r w:rsidR="00A1797B">
        <w:rPr>
          <w:rFonts w:ascii="Arial" w:hAnsi="Arial" w:cs="Arial"/>
          <w:sz w:val="24"/>
          <w:szCs w:val="24"/>
        </w:rPr>
        <w:t xml:space="preserve"> Borough Council</w:t>
      </w:r>
      <w:r w:rsidR="00270E31" w:rsidRPr="0046664A">
        <w:rPr>
          <w:rFonts w:ascii="Arial" w:hAnsi="Arial" w:cs="Arial"/>
          <w:sz w:val="24"/>
          <w:szCs w:val="24"/>
        </w:rPr>
        <w:t xml:space="preserve"> has less than 250 employees </w:t>
      </w:r>
      <w:r w:rsidR="00055025" w:rsidRPr="0046664A">
        <w:rPr>
          <w:rFonts w:ascii="Arial" w:hAnsi="Arial" w:cs="Arial"/>
          <w:sz w:val="24"/>
          <w:szCs w:val="24"/>
        </w:rPr>
        <w:t>we have chosen to carry on reporting as good practice.</w:t>
      </w:r>
    </w:p>
    <w:p w14:paraId="639535A0" w14:textId="04CE1E78" w:rsidR="002A6E36" w:rsidRPr="0046664A" w:rsidRDefault="00B336AD" w:rsidP="00A1797B">
      <w:pPr>
        <w:spacing w:after="160"/>
        <w:rPr>
          <w:rFonts w:ascii="Arial" w:hAnsi="Arial" w:cs="Arial"/>
          <w:sz w:val="24"/>
          <w:szCs w:val="24"/>
        </w:rPr>
      </w:pPr>
      <w:r w:rsidRPr="0046664A">
        <w:rPr>
          <w:rFonts w:ascii="Arial" w:hAnsi="Arial" w:cs="Arial"/>
          <w:sz w:val="24"/>
          <w:szCs w:val="24"/>
        </w:rPr>
        <w:t xml:space="preserve">The regulations require </w:t>
      </w:r>
      <w:r w:rsidR="00055025" w:rsidRPr="0046664A">
        <w:rPr>
          <w:rFonts w:ascii="Arial" w:hAnsi="Arial" w:cs="Arial"/>
          <w:sz w:val="24"/>
          <w:szCs w:val="24"/>
        </w:rPr>
        <w:t>public bodies</w:t>
      </w:r>
      <w:r w:rsidR="0082482B" w:rsidRPr="0046664A">
        <w:rPr>
          <w:rFonts w:ascii="Arial" w:hAnsi="Arial" w:cs="Arial"/>
          <w:sz w:val="24"/>
          <w:szCs w:val="24"/>
        </w:rPr>
        <w:t xml:space="preserve"> with over 250 employees</w:t>
      </w:r>
      <w:r w:rsidRPr="0046664A">
        <w:rPr>
          <w:rFonts w:ascii="Arial" w:hAnsi="Arial" w:cs="Arial"/>
          <w:sz w:val="24"/>
          <w:szCs w:val="24"/>
        </w:rPr>
        <w:t xml:space="preserve"> to publish six different calculations which show the difference in average </w:t>
      </w:r>
      <w:r w:rsidR="00842961" w:rsidRPr="0046664A">
        <w:rPr>
          <w:rFonts w:ascii="Arial" w:hAnsi="Arial" w:cs="Arial"/>
          <w:sz w:val="24"/>
          <w:szCs w:val="24"/>
        </w:rPr>
        <w:t>earnings</w:t>
      </w:r>
      <w:r w:rsidRPr="0046664A">
        <w:rPr>
          <w:rFonts w:ascii="Arial" w:hAnsi="Arial" w:cs="Arial"/>
          <w:sz w:val="24"/>
          <w:szCs w:val="24"/>
        </w:rPr>
        <w:t xml:space="preserve"> (mean and median) for both pay and ‘bonus’ pay between females and males. This information is presented in four pay quartiles each representing a different pay range from the lower pay quartile up to the upper pay quartile. This report details the Council’s Gender Pay Gap figures for the snapshot date of 31 March 20</w:t>
      </w:r>
      <w:r w:rsidR="00182776" w:rsidRPr="0046664A">
        <w:rPr>
          <w:rFonts w:ascii="Arial" w:hAnsi="Arial" w:cs="Arial"/>
          <w:sz w:val="24"/>
          <w:szCs w:val="24"/>
        </w:rPr>
        <w:t>22</w:t>
      </w:r>
      <w:r w:rsidRPr="0046664A">
        <w:rPr>
          <w:rFonts w:ascii="Arial" w:hAnsi="Arial" w:cs="Arial"/>
          <w:sz w:val="24"/>
          <w:szCs w:val="24"/>
        </w:rPr>
        <w:t>.</w:t>
      </w:r>
    </w:p>
    <w:p w14:paraId="077670A6" w14:textId="0CA18888" w:rsidR="00511CCC" w:rsidRPr="0046664A" w:rsidRDefault="002A6E36" w:rsidP="00A1797B">
      <w:pPr>
        <w:pBdr>
          <w:top w:val="single" w:sz="4" w:space="1" w:color="auto"/>
          <w:left w:val="single" w:sz="4" w:space="4" w:color="auto"/>
          <w:bottom w:val="single" w:sz="4" w:space="1" w:color="auto"/>
          <w:right w:val="single" w:sz="4" w:space="4" w:color="auto"/>
        </w:pBdr>
        <w:spacing w:after="160"/>
        <w:rPr>
          <w:rFonts w:ascii="Arial" w:hAnsi="Arial" w:cs="Arial"/>
          <w:sz w:val="24"/>
          <w:szCs w:val="24"/>
        </w:rPr>
      </w:pPr>
      <w:r w:rsidRPr="0046664A">
        <w:rPr>
          <w:rFonts w:ascii="Arial" w:hAnsi="Arial" w:cs="Arial"/>
          <w:sz w:val="24"/>
          <w:szCs w:val="24"/>
        </w:rPr>
        <w:t xml:space="preserve">The gender pay gap is not to </w:t>
      </w:r>
      <w:r w:rsidR="00245478" w:rsidRPr="0046664A">
        <w:rPr>
          <w:rFonts w:ascii="Arial" w:hAnsi="Arial" w:cs="Arial"/>
          <w:sz w:val="24"/>
          <w:szCs w:val="24"/>
        </w:rPr>
        <w:t xml:space="preserve">be </w:t>
      </w:r>
      <w:r w:rsidRPr="0046664A">
        <w:rPr>
          <w:rFonts w:ascii="Arial" w:hAnsi="Arial" w:cs="Arial"/>
          <w:sz w:val="24"/>
          <w:szCs w:val="24"/>
        </w:rPr>
        <w:t>confused with equal pay, which is the right for men and women to be paid the same rate when doing the same or equivalent work.</w:t>
      </w:r>
      <w:r w:rsidR="00717786" w:rsidRPr="0046664A">
        <w:rPr>
          <w:rFonts w:ascii="Arial" w:hAnsi="Arial" w:cs="Arial"/>
          <w:sz w:val="24"/>
          <w:szCs w:val="24"/>
        </w:rPr>
        <w:t xml:space="preserve"> </w:t>
      </w:r>
      <w:r w:rsidR="00090CA8" w:rsidRPr="0046664A">
        <w:rPr>
          <w:rFonts w:ascii="Arial" w:hAnsi="Arial" w:cs="Arial"/>
          <w:sz w:val="24"/>
          <w:szCs w:val="24"/>
        </w:rPr>
        <w:t>The gender pay gap is concerned with differences in the average earnings of men and women, regardless of their role or seniority. It is, therefore, a broader measure capturing not simply any equal pay issues within an organisation</w:t>
      </w:r>
      <w:r w:rsidR="00245478" w:rsidRPr="0046664A">
        <w:rPr>
          <w:rFonts w:ascii="Arial" w:hAnsi="Arial" w:cs="Arial"/>
          <w:sz w:val="24"/>
          <w:szCs w:val="24"/>
        </w:rPr>
        <w:t>,</w:t>
      </w:r>
      <w:r w:rsidR="00090CA8" w:rsidRPr="0046664A">
        <w:rPr>
          <w:rFonts w:ascii="Arial" w:hAnsi="Arial" w:cs="Arial"/>
          <w:sz w:val="24"/>
          <w:szCs w:val="24"/>
        </w:rPr>
        <w:t xml:space="preserve"> but also any pay inequalities resulting from differences in the sorts of jobs performed by men and women and the gender composition of the workforce by seniority.</w:t>
      </w:r>
    </w:p>
    <w:p w14:paraId="0ED432DA" w14:textId="38AB9F5E" w:rsidR="001F668F" w:rsidRPr="0046664A" w:rsidRDefault="00511CCC" w:rsidP="00A1797B">
      <w:pPr>
        <w:pBdr>
          <w:top w:val="single" w:sz="4" w:space="1" w:color="auto"/>
          <w:left w:val="single" w:sz="4" w:space="4" w:color="auto"/>
          <w:bottom w:val="single" w:sz="4" w:space="1" w:color="auto"/>
          <w:right w:val="single" w:sz="4" w:space="4" w:color="auto"/>
        </w:pBdr>
        <w:spacing w:after="160"/>
        <w:rPr>
          <w:rFonts w:ascii="Arial" w:hAnsi="Arial" w:cs="Arial"/>
          <w:sz w:val="24"/>
          <w:szCs w:val="24"/>
        </w:rPr>
      </w:pPr>
      <w:r w:rsidRPr="0046664A">
        <w:rPr>
          <w:rFonts w:ascii="Arial" w:hAnsi="Arial" w:cs="Arial"/>
          <w:sz w:val="24"/>
          <w:szCs w:val="24"/>
        </w:rPr>
        <w:t>Allerdale Borough Council pay men and women the</w:t>
      </w:r>
      <w:r w:rsidR="001F668F" w:rsidRPr="0046664A">
        <w:rPr>
          <w:rFonts w:ascii="Arial" w:hAnsi="Arial" w:cs="Arial"/>
          <w:sz w:val="24"/>
          <w:szCs w:val="24"/>
        </w:rPr>
        <w:t xml:space="preserve"> same for doing the same work or work of equal value.</w:t>
      </w:r>
      <w:r w:rsidR="007F54C4" w:rsidRPr="0046664A">
        <w:rPr>
          <w:rFonts w:ascii="Arial" w:hAnsi="Arial" w:cs="Arial"/>
          <w:sz w:val="24"/>
          <w:szCs w:val="24"/>
        </w:rPr>
        <w:t xml:space="preserve"> The Council has open and transparent pay rates and uses job evaluation schemes and national rates of pay irrespective of who undertakes the work. The Government acknowledges that actions taken to reduce the gender pay gap may take </w:t>
      </w:r>
      <w:r w:rsidR="004A452C" w:rsidRPr="0046664A">
        <w:rPr>
          <w:rFonts w:ascii="Arial" w:hAnsi="Arial" w:cs="Arial"/>
          <w:sz w:val="24"/>
          <w:szCs w:val="24"/>
        </w:rPr>
        <w:t>several</w:t>
      </w:r>
      <w:r w:rsidR="007F54C4" w:rsidRPr="0046664A">
        <w:rPr>
          <w:rFonts w:ascii="Arial" w:hAnsi="Arial" w:cs="Arial"/>
          <w:sz w:val="24"/>
          <w:szCs w:val="24"/>
        </w:rPr>
        <w:t xml:space="preserve"> years and it cannot be assumed that the gap will </w:t>
      </w:r>
      <w:r w:rsidR="004A452C" w:rsidRPr="0046664A">
        <w:rPr>
          <w:rFonts w:ascii="Arial" w:hAnsi="Arial" w:cs="Arial"/>
          <w:sz w:val="24"/>
          <w:szCs w:val="24"/>
        </w:rPr>
        <w:t>significantly change</w:t>
      </w:r>
      <w:r w:rsidR="007F54C4" w:rsidRPr="0046664A">
        <w:rPr>
          <w:rFonts w:ascii="Arial" w:hAnsi="Arial" w:cs="Arial"/>
          <w:sz w:val="24"/>
          <w:szCs w:val="24"/>
        </w:rPr>
        <w:t xml:space="preserve"> year on year.</w:t>
      </w:r>
    </w:p>
    <w:p w14:paraId="53D88C1C" w14:textId="4397574D" w:rsidR="001F668F" w:rsidRPr="0046664A" w:rsidRDefault="00982B75" w:rsidP="00A1797B">
      <w:pPr>
        <w:pBdr>
          <w:top w:val="single" w:sz="4" w:space="1" w:color="auto"/>
          <w:left w:val="single" w:sz="4" w:space="4" w:color="auto"/>
          <w:bottom w:val="single" w:sz="4" w:space="1" w:color="auto"/>
          <w:right w:val="single" w:sz="4" w:space="4" w:color="auto"/>
        </w:pBdr>
        <w:spacing w:after="160"/>
        <w:rPr>
          <w:rFonts w:ascii="Arial" w:hAnsi="Arial" w:cs="Arial"/>
          <w:sz w:val="24"/>
          <w:szCs w:val="24"/>
        </w:rPr>
      </w:pPr>
      <w:r w:rsidRPr="0046664A">
        <w:rPr>
          <w:rFonts w:ascii="Arial" w:hAnsi="Arial" w:cs="Arial"/>
          <w:sz w:val="24"/>
          <w:szCs w:val="24"/>
        </w:rPr>
        <w:t>The gender pay gap shows the differences in average pay between men and women and reflects the variety of roles</w:t>
      </w:r>
      <w:r w:rsidR="00BC1296" w:rsidRPr="0046664A">
        <w:rPr>
          <w:rFonts w:ascii="Arial" w:hAnsi="Arial" w:cs="Arial"/>
          <w:sz w:val="24"/>
          <w:szCs w:val="24"/>
        </w:rPr>
        <w:t xml:space="preserve"> undertaken across the whole council.</w:t>
      </w:r>
    </w:p>
    <w:p w14:paraId="5AD73719" w14:textId="3181E19F" w:rsidR="00BC1296" w:rsidRPr="0046664A" w:rsidRDefault="00BC1296" w:rsidP="00A1797B">
      <w:pPr>
        <w:spacing w:after="160"/>
        <w:rPr>
          <w:rFonts w:ascii="Arial" w:hAnsi="Arial" w:cs="Arial"/>
          <w:sz w:val="24"/>
          <w:szCs w:val="24"/>
        </w:rPr>
      </w:pPr>
      <w:r w:rsidRPr="0046664A">
        <w:rPr>
          <w:rFonts w:ascii="Arial" w:hAnsi="Arial" w:cs="Arial"/>
          <w:sz w:val="24"/>
          <w:szCs w:val="24"/>
        </w:rPr>
        <w:t xml:space="preserve">Therefore, some of the causes of </w:t>
      </w:r>
      <w:r w:rsidR="002314AE" w:rsidRPr="0046664A">
        <w:rPr>
          <w:rFonts w:ascii="Arial" w:hAnsi="Arial" w:cs="Arial"/>
          <w:sz w:val="24"/>
          <w:szCs w:val="24"/>
        </w:rPr>
        <w:t>a gender pay gap are often outside the control of any one employer.</w:t>
      </w:r>
    </w:p>
    <w:p w14:paraId="1EE3B220" w14:textId="794784F9" w:rsidR="002A6E36" w:rsidRPr="0046664A" w:rsidRDefault="00034D78" w:rsidP="00A1797B">
      <w:pPr>
        <w:spacing w:after="160"/>
        <w:rPr>
          <w:rFonts w:ascii="Arial" w:hAnsi="Arial" w:cs="Arial"/>
          <w:sz w:val="24"/>
          <w:szCs w:val="24"/>
        </w:rPr>
      </w:pPr>
      <w:r w:rsidRPr="0046664A">
        <w:rPr>
          <w:rFonts w:ascii="Arial" w:hAnsi="Arial" w:cs="Arial"/>
          <w:sz w:val="24"/>
          <w:szCs w:val="24"/>
        </w:rPr>
        <w:t xml:space="preserve">Whilst the data shows that the Council has a gender pay gap, the Council works hard to ensure that it is fully inclusive and </w:t>
      </w:r>
      <w:r w:rsidR="002A6E36" w:rsidRPr="0046664A">
        <w:rPr>
          <w:rFonts w:ascii="Arial" w:hAnsi="Arial" w:cs="Arial"/>
          <w:sz w:val="24"/>
          <w:szCs w:val="24"/>
        </w:rPr>
        <w:t>actively encourages a healthy work</w:t>
      </w:r>
      <w:r w:rsidR="00245478" w:rsidRPr="0046664A">
        <w:rPr>
          <w:rFonts w:ascii="Arial" w:hAnsi="Arial" w:cs="Arial"/>
          <w:sz w:val="24"/>
          <w:szCs w:val="24"/>
        </w:rPr>
        <w:t>-</w:t>
      </w:r>
      <w:r w:rsidR="002A6E36" w:rsidRPr="0046664A">
        <w:rPr>
          <w:rFonts w:ascii="Arial" w:hAnsi="Arial" w:cs="Arial"/>
          <w:sz w:val="24"/>
          <w:szCs w:val="24"/>
        </w:rPr>
        <w:t xml:space="preserve">life balance and promotes a flexible approach to work to accommodate this. This is </w:t>
      </w:r>
      <w:r w:rsidR="00245478" w:rsidRPr="0046664A">
        <w:rPr>
          <w:rFonts w:ascii="Arial" w:hAnsi="Arial" w:cs="Arial"/>
          <w:sz w:val="24"/>
          <w:szCs w:val="24"/>
        </w:rPr>
        <w:t xml:space="preserve">reflected </w:t>
      </w:r>
      <w:r w:rsidR="002A6E36" w:rsidRPr="0046664A">
        <w:rPr>
          <w:rFonts w:ascii="Arial" w:hAnsi="Arial" w:cs="Arial"/>
          <w:sz w:val="24"/>
          <w:szCs w:val="24"/>
        </w:rPr>
        <w:t>in the high level of part-time working across all grades</w:t>
      </w:r>
      <w:r w:rsidR="00A2668F">
        <w:rPr>
          <w:rFonts w:ascii="Arial" w:hAnsi="Arial" w:cs="Arial"/>
          <w:sz w:val="24"/>
          <w:szCs w:val="24"/>
        </w:rPr>
        <w:t xml:space="preserve">, however </w:t>
      </w:r>
      <w:r w:rsidR="00A40215" w:rsidRPr="0046664A">
        <w:rPr>
          <w:rFonts w:ascii="Arial" w:hAnsi="Arial" w:cs="Arial"/>
          <w:sz w:val="24"/>
          <w:szCs w:val="24"/>
        </w:rPr>
        <w:t xml:space="preserve">mostly </w:t>
      </w:r>
      <w:r w:rsidR="004A2229" w:rsidRPr="0046664A">
        <w:rPr>
          <w:rFonts w:ascii="Arial" w:hAnsi="Arial" w:cs="Arial"/>
          <w:sz w:val="24"/>
          <w:szCs w:val="24"/>
        </w:rPr>
        <w:t>by females</w:t>
      </w:r>
      <w:r w:rsidR="002A6E36" w:rsidRPr="0046664A">
        <w:rPr>
          <w:rFonts w:ascii="Arial" w:hAnsi="Arial" w:cs="Arial"/>
          <w:sz w:val="24"/>
          <w:szCs w:val="24"/>
        </w:rPr>
        <w:t>.</w:t>
      </w:r>
      <w:r w:rsidR="004A2229" w:rsidRPr="0046664A">
        <w:rPr>
          <w:rFonts w:ascii="Arial" w:hAnsi="Arial" w:cs="Arial"/>
          <w:sz w:val="24"/>
          <w:szCs w:val="24"/>
        </w:rPr>
        <w:t xml:space="preserve"> </w:t>
      </w:r>
      <w:r w:rsidR="002A6E36" w:rsidRPr="0046664A">
        <w:rPr>
          <w:rFonts w:ascii="Arial" w:hAnsi="Arial" w:cs="Arial"/>
          <w:sz w:val="24"/>
          <w:szCs w:val="24"/>
        </w:rPr>
        <w:t xml:space="preserve">The </w:t>
      </w:r>
      <w:r w:rsidR="00245478" w:rsidRPr="0046664A">
        <w:rPr>
          <w:rFonts w:ascii="Arial" w:hAnsi="Arial" w:cs="Arial"/>
          <w:sz w:val="24"/>
          <w:szCs w:val="24"/>
        </w:rPr>
        <w:t>C</w:t>
      </w:r>
      <w:r w:rsidR="002A6E36" w:rsidRPr="0046664A">
        <w:rPr>
          <w:rFonts w:ascii="Arial" w:hAnsi="Arial" w:cs="Arial"/>
          <w:sz w:val="24"/>
          <w:szCs w:val="24"/>
        </w:rPr>
        <w:t>ouncil promotes diversity, equality of opportunity and choice for our community and employees.</w:t>
      </w:r>
    </w:p>
    <w:p w14:paraId="00023F78" w14:textId="067EEB50" w:rsidR="006C546F" w:rsidRPr="00A1797B" w:rsidRDefault="00A1797B" w:rsidP="00A1797B">
      <w:pPr>
        <w:pStyle w:val="Heading1"/>
        <w:shd w:val="clear" w:color="auto" w:fill="DEEAF6" w:themeFill="accent1" w:themeFillTint="33"/>
        <w:spacing w:before="480" w:after="240"/>
        <w:rPr>
          <w:rFonts w:ascii="Arial" w:hAnsi="Arial" w:cs="Arial"/>
          <w:b/>
          <w:color w:val="auto"/>
          <w:sz w:val="26"/>
          <w:szCs w:val="26"/>
        </w:rPr>
      </w:pPr>
      <w:r w:rsidRPr="00A1797B">
        <w:rPr>
          <w:rFonts w:ascii="Arial" w:hAnsi="Arial" w:cs="Arial"/>
          <w:b/>
          <w:color w:val="auto"/>
          <w:sz w:val="26"/>
          <w:szCs w:val="26"/>
        </w:rPr>
        <w:t>Key m</w:t>
      </w:r>
      <w:r w:rsidR="006C546F" w:rsidRPr="00A1797B">
        <w:rPr>
          <w:rFonts w:ascii="Arial" w:hAnsi="Arial" w:cs="Arial"/>
          <w:b/>
          <w:color w:val="auto"/>
          <w:sz w:val="26"/>
          <w:szCs w:val="26"/>
        </w:rPr>
        <w:t>essages from March 2022 data</w:t>
      </w:r>
    </w:p>
    <w:p w14:paraId="240B945D" w14:textId="3ED02E46" w:rsidR="002970F6" w:rsidRPr="0046664A" w:rsidRDefault="001179C2" w:rsidP="00A1797B">
      <w:pPr>
        <w:pStyle w:val="ListParagraph"/>
        <w:numPr>
          <w:ilvl w:val="0"/>
          <w:numId w:val="11"/>
        </w:numPr>
        <w:spacing w:before="120"/>
        <w:ind w:left="714" w:hanging="357"/>
        <w:contextualSpacing w:val="0"/>
        <w:rPr>
          <w:rFonts w:ascii="Arial" w:hAnsi="Arial" w:cs="Arial"/>
          <w:sz w:val="24"/>
          <w:szCs w:val="24"/>
        </w:rPr>
      </w:pPr>
      <w:r w:rsidRPr="0046664A">
        <w:rPr>
          <w:rFonts w:ascii="Arial" w:hAnsi="Arial" w:cs="Arial"/>
          <w:sz w:val="24"/>
          <w:szCs w:val="24"/>
        </w:rPr>
        <w:t>Allerdale Borough</w:t>
      </w:r>
      <w:r w:rsidR="002970F6" w:rsidRPr="0046664A">
        <w:rPr>
          <w:rFonts w:ascii="Arial" w:hAnsi="Arial" w:cs="Arial"/>
          <w:sz w:val="24"/>
          <w:szCs w:val="24"/>
        </w:rPr>
        <w:t xml:space="preserve"> Council is committed to workforce equality and diversity. Males and females who do the same or equivalent roles are paid the same. </w:t>
      </w:r>
    </w:p>
    <w:p w14:paraId="3173176C" w14:textId="1A106AA8" w:rsidR="002970F6" w:rsidRPr="0046664A" w:rsidRDefault="002970F6" w:rsidP="00A1797B">
      <w:pPr>
        <w:pStyle w:val="ListParagraph"/>
        <w:numPr>
          <w:ilvl w:val="0"/>
          <w:numId w:val="11"/>
        </w:numPr>
        <w:spacing w:before="120"/>
        <w:ind w:left="714" w:hanging="357"/>
        <w:contextualSpacing w:val="0"/>
        <w:rPr>
          <w:rFonts w:ascii="Arial" w:hAnsi="Arial" w:cs="Arial"/>
          <w:sz w:val="24"/>
          <w:szCs w:val="24"/>
        </w:rPr>
      </w:pPr>
      <w:r w:rsidRPr="0046664A">
        <w:rPr>
          <w:rFonts w:ascii="Arial" w:hAnsi="Arial" w:cs="Arial"/>
          <w:sz w:val="24"/>
          <w:szCs w:val="24"/>
        </w:rPr>
        <w:t>The Council employs a higher proportion of women (</w:t>
      </w:r>
      <w:r w:rsidR="001179C2" w:rsidRPr="0046664A">
        <w:rPr>
          <w:rFonts w:ascii="Arial" w:hAnsi="Arial" w:cs="Arial"/>
          <w:sz w:val="24"/>
          <w:szCs w:val="24"/>
        </w:rPr>
        <w:t>6</w:t>
      </w:r>
      <w:r w:rsidR="00791C08">
        <w:rPr>
          <w:rFonts w:ascii="Arial" w:hAnsi="Arial" w:cs="Arial"/>
          <w:sz w:val="24"/>
          <w:szCs w:val="24"/>
        </w:rPr>
        <w:t>6</w:t>
      </w:r>
      <w:r w:rsidRPr="0046664A">
        <w:rPr>
          <w:rFonts w:ascii="Arial" w:hAnsi="Arial" w:cs="Arial"/>
          <w:sz w:val="24"/>
          <w:szCs w:val="24"/>
        </w:rPr>
        <w:t>%) than men (</w:t>
      </w:r>
      <w:r w:rsidR="001179C2" w:rsidRPr="0046664A">
        <w:rPr>
          <w:rFonts w:ascii="Arial" w:hAnsi="Arial" w:cs="Arial"/>
          <w:sz w:val="24"/>
          <w:szCs w:val="24"/>
        </w:rPr>
        <w:t>3</w:t>
      </w:r>
      <w:r w:rsidR="00791C08">
        <w:rPr>
          <w:rFonts w:ascii="Arial" w:hAnsi="Arial" w:cs="Arial"/>
          <w:sz w:val="24"/>
          <w:szCs w:val="24"/>
        </w:rPr>
        <w:t>4</w:t>
      </w:r>
      <w:r w:rsidRPr="0046664A">
        <w:rPr>
          <w:rFonts w:ascii="Arial" w:hAnsi="Arial" w:cs="Arial"/>
          <w:sz w:val="24"/>
          <w:szCs w:val="24"/>
        </w:rPr>
        <w:t xml:space="preserve">%) and there are more women than men in </w:t>
      </w:r>
      <w:r w:rsidR="00376168" w:rsidRPr="0046664A">
        <w:rPr>
          <w:rFonts w:ascii="Arial" w:hAnsi="Arial" w:cs="Arial"/>
          <w:sz w:val="24"/>
          <w:szCs w:val="24"/>
        </w:rPr>
        <w:t>three of the</w:t>
      </w:r>
      <w:r w:rsidRPr="0046664A">
        <w:rPr>
          <w:rFonts w:ascii="Arial" w:hAnsi="Arial" w:cs="Arial"/>
          <w:sz w:val="24"/>
          <w:szCs w:val="24"/>
        </w:rPr>
        <w:t xml:space="preserve"> pay quartiles. </w:t>
      </w:r>
    </w:p>
    <w:p w14:paraId="3530A245" w14:textId="66C189B6" w:rsidR="002970F6" w:rsidRPr="0046664A" w:rsidRDefault="002970F6" w:rsidP="00A1797B">
      <w:pPr>
        <w:pStyle w:val="ListParagraph"/>
        <w:numPr>
          <w:ilvl w:val="0"/>
          <w:numId w:val="11"/>
        </w:numPr>
        <w:spacing w:before="120"/>
        <w:ind w:left="714" w:hanging="357"/>
        <w:contextualSpacing w:val="0"/>
        <w:rPr>
          <w:rFonts w:ascii="Arial" w:hAnsi="Arial" w:cs="Arial"/>
          <w:sz w:val="24"/>
          <w:szCs w:val="24"/>
        </w:rPr>
      </w:pPr>
      <w:r w:rsidRPr="0046664A">
        <w:rPr>
          <w:rFonts w:ascii="Arial" w:hAnsi="Arial" w:cs="Arial"/>
          <w:sz w:val="24"/>
          <w:szCs w:val="24"/>
        </w:rPr>
        <w:t xml:space="preserve">Of the Council’s top </w:t>
      </w:r>
      <w:r w:rsidR="00490B7A">
        <w:rPr>
          <w:rFonts w:ascii="Arial" w:hAnsi="Arial" w:cs="Arial"/>
          <w:sz w:val="24"/>
          <w:szCs w:val="24"/>
        </w:rPr>
        <w:t xml:space="preserve">eight </w:t>
      </w:r>
      <w:r w:rsidRPr="0046664A">
        <w:rPr>
          <w:rFonts w:ascii="Arial" w:hAnsi="Arial" w:cs="Arial"/>
          <w:sz w:val="24"/>
          <w:szCs w:val="24"/>
        </w:rPr>
        <w:t>salaries in March 20</w:t>
      </w:r>
      <w:r w:rsidR="00376168" w:rsidRPr="0046664A">
        <w:rPr>
          <w:rFonts w:ascii="Arial" w:hAnsi="Arial" w:cs="Arial"/>
          <w:sz w:val="24"/>
          <w:szCs w:val="24"/>
        </w:rPr>
        <w:t>2</w:t>
      </w:r>
      <w:r w:rsidR="00144DE7" w:rsidRPr="0046664A">
        <w:rPr>
          <w:rFonts w:ascii="Arial" w:hAnsi="Arial" w:cs="Arial"/>
          <w:sz w:val="24"/>
          <w:szCs w:val="24"/>
        </w:rPr>
        <w:t>2</w:t>
      </w:r>
      <w:r w:rsidRPr="0046664A">
        <w:rPr>
          <w:rFonts w:ascii="Arial" w:hAnsi="Arial" w:cs="Arial"/>
          <w:sz w:val="24"/>
          <w:szCs w:val="24"/>
        </w:rPr>
        <w:t xml:space="preserve">, </w:t>
      </w:r>
      <w:r w:rsidR="00376168" w:rsidRPr="0046664A">
        <w:rPr>
          <w:rFonts w:ascii="Arial" w:hAnsi="Arial" w:cs="Arial"/>
          <w:sz w:val="24"/>
          <w:szCs w:val="24"/>
        </w:rPr>
        <w:t>two</w:t>
      </w:r>
      <w:r w:rsidRPr="0046664A">
        <w:rPr>
          <w:rFonts w:ascii="Arial" w:hAnsi="Arial" w:cs="Arial"/>
          <w:sz w:val="24"/>
          <w:szCs w:val="24"/>
        </w:rPr>
        <w:t xml:space="preserve"> roles were held by females</w:t>
      </w:r>
      <w:r w:rsidR="00AF3780" w:rsidRPr="0046664A">
        <w:rPr>
          <w:rFonts w:ascii="Arial" w:hAnsi="Arial" w:cs="Arial"/>
          <w:sz w:val="24"/>
          <w:szCs w:val="24"/>
        </w:rPr>
        <w:t>.</w:t>
      </w:r>
    </w:p>
    <w:p w14:paraId="6A6E9001" w14:textId="3BD8C16D" w:rsidR="002970F6" w:rsidRPr="0046664A" w:rsidRDefault="002970F6" w:rsidP="00A1797B">
      <w:pPr>
        <w:pStyle w:val="ListParagraph"/>
        <w:numPr>
          <w:ilvl w:val="0"/>
          <w:numId w:val="11"/>
        </w:numPr>
        <w:spacing w:before="120"/>
        <w:ind w:left="714" w:hanging="357"/>
        <w:contextualSpacing w:val="0"/>
        <w:rPr>
          <w:rFonts w:ascii="Arial" w:hAnsi="Arial" w:cs="Arial"/>
          <w:sz w:val="24"/>
          <w:szCs w:val="24"/>
        </w:rPr>
      </w:pPr>
      <w:r w:rsidRPr="0046664A">
        <w:rPr>
          <w:rFonts w:ascii="Arial" w:hAnsi="Arial" w:cs="Arial"/>
          <w:sz w:val="24"/>
          <w:szCs w:val="24"/>
        </w:rPr>
        <w:t>The Council pays the Living Wage Foundation UK Living Wage rate (currently £</w:t>
      </w:r>
      <w:r w:rsidR="00643C1A" w:rsidRPr="0046664A">
        <w:rPr>
          <w:rFonts w:ascii="Arial" w:hAnsi="Arial" w:cs="Arial"/>
          <w:sz w:val="24"/>
          <w:szCs w:val="24"/>
        </w:rPr>
        <w:t>9.90</w:t>
      </w:r>
      <w:r w:rsidRPr="0046664A">
        <w:rPr>
          <w:rFonts w:ascii="Arial" w:hAnsi="Arial" w:cs="Arial"/>
          <w:sz w:val="24"/>
          <w:szCs w:val="24"/>
        </w:rPr>
        <w:t xml:space="preserve"> per hour) as its minimum wage, and this is higher than many equivalent jobs in the private sector. </w:t>
      </w:r>
    </w:p>
    <w:p w14:paraId="037E6C6C" w14:textId="3064C1DD" w:rsidR="002970F6" w:rsidRPr="0046664A" w:rsidRDefault="002970F6" w:rsidP="00A1797B">
      <w:pPr>
        <w:pStyle w:val="ListParagraph"/>
        <w:numPr>
          <w:ilvl w:val="0"/>
          <w:numId w:val="11"/>
        </w:numPr>
        <w:spacing w:before="120"/>
        <w:ind w:left="714" w:hanging="357"/>
        <w:contextualSpacing w:val="0"/>
        <w:rPr>
          <w:rFonts w:ascii="Arial" w:hAnsi="Arial" w:cs="Arial"/>
          <w:sz w:val="24"/>
          <w:szCs w:val="24"/>
        </w:rPr>
      </w:pPr>
      <w:r w:rsidRPr="0046664A">
        <w:rPr>
          <w:rFonts w:ascii="Arial" w:hAnsi="Arial" w:cs="Arial"/>
          <w:sz w:val="24"/>
          <w:szCs w:val="24"/>
        </w:rPr>
        <w:t xml:space="preserve">Despite these facts, there is still a slightly wider median gender pay gap at the Council than the national median comparator. </w:t>
      </w:r>
    </w:p>
    <w:p w14:paraId="090BA85C" w14:textId="5B8B8A15" w:rsidR="006C546F" w:rsidRPr="0046664A" w:rsidRDefault="002970F6" w:rsidP="00A1797B">
      <w:pPr>
        <w:pStyle w:val="ListParagraph"/>
        <w:numPr>
          <w:ilvl w:val="0"/>
          <w:numId w:val="11"/>
        </w:numPr>
        <w:spacing w:before="120" w:after="160"/>
        <w:ind w:left="714" w:hanging="357"/>
        <w:contextualSpacing w:val="0"/>
        <w:rPr>
          <w:rFonts w:ascii="Arial" w:hAnsi="Arial" w:cs="Arial"/>
          <w:sz w:val="24"/>
          <w:szCs w:val="24"/>
        </w:rPr>
      </w:pPr>
      <w:r w:rsidRPr="0046664A">
        <w:rPr>
          <w:rFonts w:ascii="Arial" w:hAnsi="Arial" w:cs="Arial"/>
          <w:sz w:val="24"/>
          <w:szCs w:val="24"/>
        </w:rPr>
        <w:t xml:space="preserve">A plan is in place supporting the workforce to grow their skills, </w:t>
      </w:r>
      <w:r w:rsidR="004A452C" w:rsidRPr="0046664A">
        <w:rPr>
          <w:rFonts w:ascii="Arial" w:hAnsi="Arial" w:cs="Arial"/>
          <w:sz w:val="24"/>
          <w:szCs w:val="24"/>
        </w:rPr>
        <w:t>abilities,</w:t>
      </w:r>
      <w:r w:rsidRPr="0046664A">
        <w:rPr>
          <w:rFonts w:ascii="Arial" w:hAnsi="Arial" w:cs="Arial"/>
          <w:sz w:val="24"/>
          <w:szCs w:val="24"/>
        </w:rPr>
        <w:t xml:space="preserve"> and confidence. Family friendly flexible working options and employment </w:t>
      </w:r>
      <w:r w:rsidRPr="0046664A">
        <w:rPr>
          <w:rFonts w:ascii="Arial" w:hAnsi="Arial" w:cs="Arial"/>
          <w:sz w:val="24"/>
          <w:szCs w:val="24"/>
        </w:rPr>
        <w:lastRenderedPageBreak/>
        <w:t>benefits are also provided such as enhanced annual leave, training, and career progression opportunities.</w:t>
      </w:r>
      <w:r w:rsidR="001D2EA0" w:rsidRPr="0046664A">
        <w:rPr>
          <w:rFonts w:ascii="Arial" w:hAnsi="Arial" w:cs="Arial"/>
          <w:sz w:val="24"/>
          <w:szCs w:val="24"/>
        </w:rPr>
        <w:t xml:space="preserve"> (</w:t>
      </w:r>
      <w:r w:rsidR="004313B4">
        <w:rPr>
          <w:rFonts w:ascii="Arial" w:hAnsi="Arial" w:cs="Arial"/>
          <w:sz w:val="24"/>
          <w:szCs w:val="24"/>
        </w:rPr>
        <w:t>S</w:t>
      </w:r>
      <w:r w:rsidR="001D2EA0" w:rsidRPr="0046664A">
        <w:rPr>
          <w:rFonts w:ascii="Arial" w:hAnsi="Arial" w:cs="Arial"/>
          <w:sz w:val="24"/>
          <w:szCs w:val="24"/>
        </w:rPr>
        <w:t xml:space="preserve">ee </w:t>
      </w:r>
      <w:r w:rsidR="004313B4">
        <w:rPr>
          <w:rFonts w:ascii="Arial" w:hAnsi="Arial" w:cs="Arial"/>
          <w:sz w:val="24"/>
          <w:szCs w:val="24"/>
        </w:rPr>
        <w:t>Appendix 1).</w:t>
      </w:r>
    </w:p>
    <w:p w14:paraId="35761997" w14:textId="77777777" w:rsidR="00090CA8" w:rsidRPr="00A1797B" w:rsidRDefault="00090CA8" w:rsidP="00A1797B">
      <w:pPr>
        <w:pStyle w:val="Heading1"/>
        <w:shd w:val="clear" w:color="auto" w:fill="DEEAF6" w:themeFill="accent1" w:themeFillTint="33"/>
        <w:spacing w:before="480" w:after="240"/>
        <w:rPr>
          <w:rFonts w:ascii="Arial" w:hAnsi="Arial" w:cs="Arial"/>
          <w:b/>
          <w:color w:val="auto"/>
          <w:sz w:val="26"/>
          <w:szCs w:val="26"/>
        </w:rPr>
      </w:pPr>
      <w:bookmarkStart w:id="0" w:name="_Hlk104545199"/>
      <w:r w:rsidRPr="00A1797B">
        <w:rPr>
          <w:rFonts w:ascii="Arial" w:hAnsi="Arial" w:cs="Arial"/>
          <w:b/>
          <w:color w:val="auto"/>
          <w:sz w:val="26"/>
          <w:szCs w:val="26"/>
        </w:rPr>
        <w:t>Factors affecting the gender pay gap</w:t>
      </w:r>
    </w:p>
    <w:bookmarkEnd w:id="0"/>
    <w:p w14:paraId="0858FF40" w14:textId="77777777" w:rsidR="00090CA8" w:rsidRPr="0046664A" w:rsidRDefault="00090CA8" w:rsidP="00A1797B">
      <w:pPr>
        <w:spacing w:after="160"/>
        <w:rPr>
          <w:rFonts w:ascii="Arial" w:hAnsi="Arial" w:cs="Arial"/>
          <w:sz w:val="24"/>
          <w:szCs w:val="24"/>
        </w:rPr>
      </w:pPr>
      <w:r w:rsidRPr="0046664A">
        <w:rPr>
          <w:rFonts w:ascii="Arial" w:hAnsi="Arial" w:cs="Arial"/>
          <w:sz w:val="24"/>
          <w:szCs w:val="24"/>
        </w:rPr>
        <w:t>The causes of the gender pay gap are many and varied. They often overlap and are frequently outside the control of any one employer.</w:t>
      </w:r>
    </w:p>
    <w:p w14:paraId="4515E218" w14:textId="35821C12" w:rsidR="00090CA8" w:rsidRPr="0046664A" w:rsidRDefault="00090CA8" w:rsidP="00A1797B">
      <w:pPr>
        <w:spacing w:after="160"/>
        <w:rPr>
          <w:rFonts w:ascii="Arial" w:hAnsi="Arial" w:cs="Arial"/>
          <w:sz w:val="24"/>
          <w:szCs w:val="24"/>
        </w:rPr>
      </w:pPr>
      <w:r w:rsidRPr="0046664A">
        <w:rPr>
          <w:rFonts w:ascii="Arial" w:hAnsi="Arial" w:cs="Arial"/>
          <w:sz w:val="24"/>
          <w:szCs w:val="24"/>
        </w:rPr>
        <w:t xml:space="preserve">An organisation with a higher proportion of men in senior roles and women in junior roles will have a gender pay gap. So too will an organisation with a higher proportion of men than women in better-paid functions such as IT and other science, </w:t>
      </w:r>
      <w:r w:rsidR="004A452C" w:rsidRPr="0046664A">
        <w:rPr>
          <w:rFonts w:ascii="Arial" w:hAnsi="Arial" w:cs="Arial"/>
          <w:sz w:val="24"/>
          <w:szCs w:val="24"/>
        </w:rPr>
        <w:t>technology,</w:t>
      </w:r>
      <w:r w:rsidRPr="0046664A">
        <w:rPr>
          <w:rFonts w:ascii="Arial" w:hAnsi="Arial" w:cs="Arial"/>
          <w:sz w:val="24"/>
          <w:szCs w:val="24"/>
        </w:rPr>
        <w:t xml:space="preserve"> and engineering roles.</w:t>
      </w:r>
    </w:p>
    <w:p w14:paraId="6654ED01" w14:textId="77777777" w:rsidR="00090CA8" w:rsidRPr="0046664A" w:rsidRDefault="00090CA8" w:rsidP="00A1797B">
      <w:pPr>
        <w:spacing w:after="160"/>
        <w:rPr>
          <w:rFonts w:ascii="Arial" w:hAnsi="Arial" w:cs="Arial"/>
          <w:sz w:val="24"/>
          <w:szCs w:val="24"/>
        </w:rPr>
      </w:pPr>
      <w:r w:rsidRPr="0046664A">
        <w:rPr>
          <w:rFonts w:ascii="Arial" w:hAnsi="Arial" w:cs="Arial"/>
          <w:sz w:val="24"/>
          <w:szCs w:val="24"/>
        </w:rPr>
        <w:t>Women also make up three-quarters of the part-time workforce, whose hourly pay rates tend to be significantly lower than those of full-time workers. In addition, women are much more likely to take time out of the labour market for family reasons, slowing the pace at which they typically progress to more senior and better-paid roles.</w:t>
      </w:r>
    </w:p>
    <w:p w14:paraId="00D032D0" w14:textId="43AB3A7A" w:rsidR="006A6AEB" w:rsidRPr="00A1797B" w:rsidRDefault="006A6AEB" w:rsidP="00A1797B">
      <w:pPr>
        <w:pStyle w:val="Heading1"/>
        <w:shd w:val="clear" w:color="auto" w:fill="DEEAF6" w:themeFill="accent1" w:themeFillTint="33"/>
        <w:spacing w:before="480" w:after="240"/>
        <w:rPr>
          <w:rFonts w:ascii="Arial" w:hAnsi="Arial" w:cs="Arial"/>
          <w:b/>
          <w:color w:val="auto"/>
          <w:sz w:val="26"/>
          <w:szCs w:val="26"/>
        </w:rPr>
      </w:pPr>
      <w:r w:rsidRPr="00A1797B">
        <w:rPr>
          <w:rFonts w:ascii="Arial" w:hAnsi="Arial" w:cs="Arial"/>
          <w:b/>
          <w:color w:val="auto"/>
          <w:sz w:val="26"/>
          <w:szCs w:val="26"/>
        </w:rPr>
        <w:t>The six gender pay gap figures explained</w:t>
      </w:r>
    </w:p>
    <w:p w14:paraId="65CAB967" w14:textId="08F8F58A" w:rsidR="006A6AEB" w:rsidRPr="0046664A" w:rsidRDefault="00455750" w:rsidP="00A1797B">
      <w:pPr>
        <w:spacing w:after="160"/>
        <w:rPr>
          <w:rFonts w:ascii="Arial" w:hAnsi="Arial" w:cs="Arial"/>
          <w:sz w:val="24"/>
          <w:szCs w:val="24"/>
        </w:rPr>
      </w:pPr>
      <w:r w:rsidRPr="0046664A">
        <w:rPr>
          <w:rFonts w:ascii="Arial" w:hAnsi="Arial" w:cs="Arial"/>
          <w:sz w:val="24"/>
          <w:szCs w:val="24"/>
        </w:rPr>
        <w:t>The calculations and reasons for the gender pay gaps are complex but as explained previously, are not an indication of unfair or unequal pay.</w:t>
      </w:r>
    </w:p>
    <w:p w14:paraId="6FC031FD" w14:textId="7D63439F" w:rsidR="00455750" w:rsidRPr="0046664A" w:rsidRDefault="00455750" w:rsidP="00A1797B">
      <w:pPr>
        <w:spacing w:after="160"/>
        <w:rPr>
          <w:rFonts w:ascii="Arial" w:hAnsi="Arial" w:cs="Arial"/>
          <w:sz w:val="24"/>
          <w:szCs w:val="24"/>
        </w:rPr>
      </w:pPr>
      <w:r w:rsidRPr="0046664A">
        <w:rPr>
          <w:rFonts w:ascii="Arial" w:hAnsi="Arial" w:cs="Arial"/>
          <w:sz w:val="24"/>
          <w:szCs w:val="24"/>
        </w:rPr>
        <w:t>The regulations are specific about what pay data</w:t>
      </w:r>
      <w:r w:rsidR="00080AE3" w:rsidRPr="0046664A">
        <w:rPr>
          <w:rFonts w:ascii="Arial" w:hAnsi="Arial" w:cs="Arial"/>
          <w:sz w:val="24"/>
          <w:szCs w:val="24"/>
        </w:rPr>
        <w:t xml:space="preserve"> should and should not be included and which employees should be counted.</w:t>
      </w:r>
    </w:p>
    <w:p w14:paraId="28179140" w14:textId="1E00E58C" w:rsidR="00080AE3" w:rsidRPr="0046664A" w:rsidRDefault="00080AE3" w:rsidP="00A1797B">
      <w:pPr>
        <w:spacing w:after="160"/>
        <w:rPr>
          <w:rFonts w:ascii="Arial" w:hAnsi="Arial" w:cs="Arial"/>
          <w:sz w:val="24"/>
          <w:szCs w:val="24"/>
        </w:rPr>
      </w:pPr>
      <w:r w:rsidRPr="0046664A">
        <w:rPr>
          <w:rFonts w:ascii="Arial" w:hAnsi="Arial" w:cs="Arial"/>
          <w:sz w:val="24"/>
          <w:szCs w:val="24"/>
        </w:rPr>
        <w:t>The majority of the Council</w:t>
      </w:r>
      <w:r w:rsidR="00A1797B">
        <w:rPr>
          <w:rFonts w:ascii="Arial" w:hAnsi="Arial" w:cs="Arial"/>
          <w:sz w:val="24"/>
          <w:szCs w:val="24"/>
        </w:rPr>
        <w:t>’</w:t>
      </w:r>
      <w:r w:rsidRPr="0046664A">
        <w:rPr>
          <w:rFonts w:ascii="Arial" w:hAnsi="Arial" w:cs="Arial"/>
          <w:sz w:val="24"/>
          <w:szCs w:val="24"/>
        </w:rPr>
        <w:t>s workforce ar</w:t>
      </w:r>
      <w:r w:rsidR="00A22A24" w:rsidRPr="0046664A">
        <w:rPr>
          <w:rFonts w:ascii="Arial" w:hAnsi="Arial" w:cs="Arial"/>
          <w:sz w:val="24"/>
          <w:szCs w:val="24"/>
        </w:rPr>
        <w:t>e</w:t>
      </w:r>
      <w:r w:rsidRPr="0046664A">
        <w:rPr>
          <w:rFonts w:ascii="Arial" w:hAnsi="Arial" w:cs="Arial"/>
          <w:sz w:val="24"/>
          <w:szCs w:val="24"/>
        </w:rPr>
        <w:t xml:space="preserve"> employed under the same terms</w:t>
      </w:r>
      <w:r w:rsidR="006250DE" w:rsidRPr="0046664A">
        <w:rPr>
          <w:rFonts w:ascii="Arial" w:hAnsi="Arial" w:cs="Arial"/>
          <w:sz w:val="24"/>
          <w:szCs w:val="24"/>
        </w:rPr>
        <w:t xml:space="preserve">, </w:t>
      </w:r>
      <w:r w:rsidRPr="0046664A">
        <w:rPr>
          <w:rFonts w:ascii="Arial" w:hAnsi="Arial" w:cs="Arial"/>
          <w:sz w:val="24"/>
          <w:szCs w:val="24"/>
        </w:rPr>
        <w:t>conditions</w:t>
      </w:r>
      <w:r w:rsidR="006250DE" w:rsidRPr="0046664A">
        <w:rPr>
          <w:rFonts w:ascii="Arial" w:hAnsi="Arial" w:cs="Arial"/>
          <w:sz w:val="24"/>
          <w:szCs w:val="24"/>
        </w:rPr>
        <w:t xml:space="preserve"> and pay and grading structure. There are however various pay elements within this framework which reflects the different types of jobs undertaken and </w:t>
      </w:r>
      <w:r w:rsidR="006250DE" w:rsidRPr="0046664A">
        <w:rPr>
          <w:rFonts w:ascii="Arial" w:hAnsi="Arial" w:cs="Arial"/>
          <w:sz w:val="24"/>
          <w:szCs w:val="24"/>
        </w:rPr>
        <w:lastRenderedPageBreak/>
        <w:t>different ways of working</w:t>
      </w:r>
      <w:r w:rsidR="00847F28" w:rsidRPr="0046664A">
        <w:rPr>
          <w:rFonts w:ascii="Arial" w:hAnsi="Arial" w:cs="Arial"/>
          <w:sz w:val="24"/>
          <w:szCs w:val="24"/>
        </w:rPr>
        <w:t>, such as payments for shift working and weekend working.</w:t>
      </w:r>
    </w:p>
    <w:p w14:paraId="2AF92E5C" w14:textId="621489D6" w:rsidR="00ED3C4C" w:rsidRPr="0046664A" w:rsidRDefault="00ED3C4C" w:rsidP="00A1797B">
      <w:pPr>
        <w:spacing w:after="160"/>
        <w:rPr>
          <w:rFonts w:ascii="Arial" w:hAnsi="Arial" w:cs="Arial"/>
          <w:sz w:val="24"/>
          <w:szCs w:val="24"/>
        </w:rPr>
      </w:pPr>
      <w:r w:rsidRPr="0046664A">
        <w:rPr>
          <w:rFonts w:ascii="Arial" w:hAnsi="Arial" w:cs="Arial"/>
          <w:sz w:val="24"/>
          <w:szCs w:val="24"/>
        </w:rPr>
        <w:t>There is also a smaller group of employees who a</w:t>
      </w:r>
      <w:r w:rsidR="00A22A24" w:rsidRPr="0046664A">
        <w:rPr>
          <w:rFonts w:ascii="Arial" w:hAnsi="Arial" w:cs="Arial"/>
          <w:sz w:val="24"/>
          <w:szCs w:val="24"/>
        </w:rPr>
        <w:t>r</w:t>
      </w:r>
      <w:r w:rsidRPr="0046664A">
        <w:rPr>
          <w:rFonts w:ascii="Arial" w:hAnsi="Arial" w:cs="Arial"/>
          <w:sz w:val="24"/>
          <w:szCs w:val="24"/>
        </w:rPr>
        <w:t>e employed under different terms such as the Chief Officers.</w:t>
      </w:r>
    </w:p>
    <w:p w14:paraId="4059F92D" w14:textId="77777777" w:rsidR="002A6E36" w:rsidRPr="00A1797B" w:rsidRDefault="002A6E36" w:rsidP="00A1797B">
      <w:pPr>
        <w:pStyle w:val="Heading1"/>
        <w:shd w:val="clear" w:color="auto" w:fill="DEEAF6" w:themeFill="accent1" w:themeFillTint="33"/>
        <w:spacing w:before="480" w:after="240"/>
        <w:rPr>
          <w:rFonts w:ascii="Arial" w:hAnsi="Arial" w:cs="Arial"/>
          <w:b/>
          <w:color w:val="auto"/>
          <w:sz w:val="26"/>
          <w:szCs w:val="26"/>
        </w:rPr>
      </w:pPr>
      <w:r w:rsidRPr="00A1797B">
        <w:rPr>
          <w:rFonts w:ascii="Arial" w:hAnsi="Arial" w:cs="Arial"/>
          <w:b/>
          <w:color w:val="auto"/>
          <w:sz w:val="26"/>
          <w:szCs w:val="26"/>
        </w:rPr>
        <w:t>Workforce Summary</w:t>
      </w:r>
    </w:p>
    <w:p w14:paraId="07B714B3" w14:textId="69AD1CD0" w:rsidR="00DC74EF" w:rsidRPr="0046664A" w:rsidRDefault="00DC74EF" w:rsidP="00A1797B">
      <w:pPr>
        <w:spacing w:after="160"/>
        <w:rPr>
          <w:rFonts w:ascii="Arial" w:hAnsi="Arial" w:cs="Arial"/>
          <w:sz w:val="24"/>
          <w:szCs w:val="24"/>
        </w:rPr>
      </w:pPr>
      <w:r w:rsidRPr="0046664A">
        <w:rPr>
          <w:rFonts w:ascii="Arial" w:hAnsi="Arial" w:cs="Arial"/>
          <w:sz w:val="24"/>
          <w:szCs w:val="24"/>
        </w:rPr>
        <w:t>The Council had 2</w:t>
      </w:r>
      <w:r w:rsidR="00332A62" w:rsidRPr="0046664A">
        <w:rPr>
          <w:rFonts w:ascii="Arial" w:hAnsi="Arial" w:cs="Arial"/>
          <w:sz w:val="24"/>
          <w:szCs w:val="24"/>
        </w:rPr>
        <w:t>26 employees during the snapshot period of March 2022.</w:t>
      </w:r>
    </w:p>
    <w:p w14:paraId="151BF206" w14:textId="15A1D4EC" w:rsidR="002A6E36" w:rsidRPr="0046664A" w:rsidRDefault="002A6E36" w:rsidP="00A1797B">
      <w:pPr>
        <w:spacing w:after="160"/>
        <w:rPr>
          <w:rFonts w:ascii="Arial" w:hAnsi="Arial" w:cs="Arial"/>
          <w:sz w:val="24"/>
          <w:szCs w:val="24"/>
        </w:rPr>
      </w:pPr>
      <w:r w:rsidRPr="0046664A">
        <w:rPr>
          <w:rFonts w:ascii="Arial" w:hAnsi="Arial" w:cs="Arial"/>
          <w:sz w:val="24"/>
          <w:szCs w:val="24"/>
        </w:rPr>
        <w:t>Nationally local government employs over 1.5 million people – 78% of these are females.</w:t>
      </w:r>
    </w:p>
    <w:p w14:paraId="756BB1C2" w14:textId="2B0A20D3" w:rsidR="002A6E36" w:rsidRPr="0046664A" w:rsidRDefault="002A6E36" w:rsidP="00A1797B">
      <w:pPr>
        <w:spacing w:after="600"/>
        <w:rPr>
          <w:rFonts w:ascii="Arial" w:hAnsi="Arial" w:cs="Arial"/>
          <w:sz w:val="24"/>
          <w:szCs w:val="24"/>
        </w:rPr>
      </w:pPr>
      <w:r w:rsidRPr="0046664A">
        <w:rPr>
          <w:rFonts w:ascii="Arial" w:hAnsi="Arial" w:cs="Arial"/>
          <w:b/>
          <w:bCs/>
          <w:sz w:val="24"/>
          <w:szCs w:val="24"/>
        </w:rPr>
        <w:t>At ABC:</w:t>
      </w:r>
      <w:r w:rsidR="00762C82" w:rsidRPr="0046664A">
        <w:rPr>
          <w:rFonts w:ascii="Arial" w:hAnsi="Arial" w:cs="Arial"/>
          <w:sz w:val="24"/>
          <w:szCs w:val="24"/>
        </w:rPr>
        <w:t xml:space="preserve"> </w:t>
      </w:r>
      <w:r w:rsidRPr="0046664A">
        <w:rPr>
          <w:rFonts w:ascii="Arial" w:hAnsi="Arial" w:cs="Arial"/>
          <w:sz w:val="24"/>
          <w:szCs w:val="24"/>
        </w:rPr>
        <w:t>The total workforce comprise</w:t>
      </w:r>
      <w:r w:rsidR="001203C8" w:rsidRPr="0046664A">
        <w:rPr>
          <w:rFonts w:ascii="Arial" w:hAnsi="Arial" w:cs="Arial"/>
          <w:sz w:val="24"/>
          <w:szCs w:val="24"/>
        </w:rPr>
        <w:t>d of 226 employees during the snapshot period of March 2022</w:t>
      </w:r>
      <w:r w:rsidR="00430B72" w:rsidRPr="0046664A">
        <w:rPr>
          <w:rFonts w:ascii="Arial" w:hAnsi="Arial" w:cs="Arial"/>
          <w:sz w:val="24"/>
          <w:szCs w:val="24"/>
        </w:rPr>
        <w:t>.</w:t>
      </w:r>
    </w:p>
    <w:p w14:paraId="09231803" w14:textId="7C44A65B" w:rsidR="00D15BA7" w:rsidRPr="00A1797B" w:rsidRDefault="00C06281" w:rsidP="00A1797B">
      <w:pPr>
        <w:pStyle w:val="Heading2"/>
        <w:spacing w:before="0" w:after="160"/>
        <w:rPr>
          <w:rFonts w:ascii="Arial" w:hAnsi="Arial" w:cs="Arial"/>
          <w:b/>
          <w:color w:val="auto"/>
          <w:sz w:val="24"/>
        </w:rPr>
      </w:pPr>
      <w:r w:rsidRPr="00A1797B">
        <w:rPr>
          <w:rFonts w:ascii="Arial" w:hAnsi="Arial" w:cs="Arial"/>
          <w:b/>
          <w:color w:val="auto"/>
          <w:sz w:val="24"/>
        </w:rPr>
        <w:t>Figure 1</w:t>
      </w:r>
      <w:r w:rsidR="00A1797B">
        <w:rPr>
          <w:rFonts w:ascii="Arial" w:hAnsi="Arial" w:cs="Arial"/>
          <w:b/>
          <w:color w:val="auto"/>
          <w:sz w:val="24"/>
        </w:rPr>
        <w:t xml:space="preserve">: </w:t>
      </w:r>
      <w:r w:rsidR="00A1797B" w:rsidRPr="00A1797B">
        <w:rPr>
          <w:rFonts w:ascii="Arial" w:hAnsi="Arial" w:cs="Arial"/>
          <w:b/>
          <w:color w:val="auto"/>
          <w:sz w:val="24"/>
        </w:rPr>
        <w:t>Gender breakdown of the workforce</w:t>
      </w:r>
    </w:p>
    <w:p w14:paraId="79E0FA41" w14:textId="40C97E05" w:rsidR="00312E7E" w:rsidRPr="0046664A" w:rsidRDefault="00312E7E" w:rsidP="00A1797B">
      <w:pPr>
        <w:spacing w:after="240"/>
        <w:jc w:val="center"/>
        <w:rPr>
          <w:rFonts w:ascii="Arial" w:hAnsi="Arial" w:cs="Arial"/>
          <w:b/>
          <w:bCs/>
          <w:sz w:val="24"/>
          <w:szCs w:val="24"/>
        </w:rPr>
      </w:pPr>
      <w:r w:rsidRPr="0046664A">
        <w:rPr>
          <w:rFonts w:ascii="Arial" w:hAnsi="Arial" w:cs="Arial"/>
          <w:noProof/>
          <w:sz w:val="24"/>
          <w:szCs w:val="24"/>
          <w:lang w:eastAsia="en-GB"/>
        </w:rPr>
        <w:drawing>
          <wp:inline distT="0" distB="0" distL="0" distR="0" wp14:anchorId="0CF46401" wp14:editId="66B5F53C">
            <wp:extent cx="4524375" cy="2205644"/>
            <wp:effectExtent l="0" t="0" r="9525" b="4445"/>
            <wp:docPr id="24" name="Chart 24">
              <a:extLst xmlns:a="http://schemas.openxmlformats.org/drawingml/2006/main">
                <a:ext uri="{FF2B5EF4-FFF2-40B4-BE49-F238E27FC236}">
                  <a16:creationId xmlns:a16="http://schemas.microsoft.com/office/drawing/2014/main" id="{A6059934-0F86-4A1C-BAF3-3ACF16E05F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480EBFD" w14:textId="102B3A2B" w:rsidR="007F345B" w:rsidRPr="00A1797B" w:rsidRDefault="00B258CF" w:rsidP="00A1797B">
      <w:pPr>
        <w:pStyle w:val="Heading2"/>
        <w:spacing w:before="360" w:after="160"/>
        <w:rPr>
          <w:rFonts w:ascii="Arial" w:hAnsi="Arial" w:cs="Arial"/>
          <w:b/>
          <w:color w:val="auto"/>
          <w:sz w:val="24"/>
          <w:szCs w:val="24"/>
        </w:rPr>
      </w:pPr>
      <w:r w:rsidRPr="00A1797B">
        <w:rPr>
          <w:rFonts w:ascii="Arial" w:hAnsi="Arial" w:cs="Arial"/>
          <w:b/>
          <w:color w:val="auto"/>
          <w:sz w:val="24"/>
          <w:szCs w:val="24"/>
        </w:rPr>
        <w:t>Figure 2</w:t>
      </w:r>
      <w:r w:rsidR="00A1797B" w:rsidRPr="00A1797B">
        <w:rPr>
          <w:rFonts w:ascii="Arial" w:hAnsi="Arial" w:cs="Arial"/>
          <w:b/>
          <w:color w:val="auto"/>
          <w:sz w:val="24"/>
          <w:szCs w:val="24"/>
        </w:rPr>
        <w:t>: Gender breakdown of part time and full time employees</w:t>
      </w:r>
    </w:p>
    <w:p w14:paraId="3455C474" w14:textId="7BFB7F01" w:rsidR="00592D6F" w:rsidRPr="0046664A" w:rsidRDefault="007F345B" w:rsidP="00A1797B">
      <w:pPr>
        <w:spacing w:after="360"/>
        <w:jc w:val="center"/>
        <w:rPr>
          <w:rFonts w:ascii="Arial" w:hAnsi="Arial" w:cs="Arial"/>
          <w:sz w:val="24"/>
          <w:szCs w:val="24"/>
        </w:rPr>
      </w:pPr>
      <w:r w:rsidRPr="0046664A">
        <w:rPr>
          <w:rFonts w:ascii="Arial" w:hAnsi="Arial" w:cs="Arial"/>
          <w:noProof/>
          <w:sz w:val="24"/>
          <w:szCs w:val="24"/>
          <w:lang w:eastAsia="en-GB"/>
        </w:rPr>
        <w:drawing>
          <wp:inline distT="0" distB="0" distL="0" distR="0" wp14:anchorId="1C88F9BE" wp14:editId="4DE1B402">
            <wp:extent cx="4572000" cy="2409826"/>
            <wp:effectExtent l="0" t="0" r="0" b="9525"/>
            <wp:docPr id="25" name="Chart 25">
              <a:extLst xmlns:a="http://schemas.openxmlformats.org/drawingml/2006/main">
                <a:ext uri="{FF2B5EF4-FFF2-40B4-BE49-F238E27FC236}">
                  <a16:creationId xmlns:a16="http://schemas.microsoft.com/office/drawing/2014/main" id="{971483C6-6574-459C-8A26-A8407E94B9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8E226F9" w14:textId="1FCCDF60" w:rsidR="00664720" w:rsidRPr="00A1797B" w:rsidRDefault="00A1797B" w:rsidP="00A1797B">
      <w:pPr>
        <w:pStyle w:val="Heading1"/>
        <w:shd w:val="clear" w:color="auto" w:fill="DEEAF6" w:themeFill="accent1" w:themeFillTint="33"/>
        <w:spacing w:after="160"/>
        <w:rPr>
          <w:rFonts w:ascii="Arial" w:hAnsi="Arial" w:cs="Arial"/>
          <w:b/>
          <w:color w:val="auto"/>
          <w:sz w:val="26"/>
          <w:szCs w:val="26"/>
        </w:rPr>
      </w:pPr>
      <w:r>
        <w:rPr>
          <w:rFonts w:ascii="Arial" w:hAnsi="Arial" w:cs="Arial"/>
          <w:b/>
          <w:color w:val="auto"/>
          <w:sz w:val="26"/>
          <w:szCs w:val="26"/>
        </w:rPr>
        <w:t>What we have to r</w:t>
      </w:r>
      <w:r w:rsidR="00664720" w:rsidRPr="00A1797B">
        <w:rPr>
          <w:rFonts w:ascii="Arial" w:hAnsi="Arial" w:cs="Arial"/>
          <w:b/>
          <w:color w:val="auto"/>
          <w:sz w:val="26"/>
          <w:szCs w:val="26"/>
        </w:rPr>
        <w:t>eport</w:t>
      </w:r>
    </w:p>
    <w:p w14:paraId="2D1C1474" w14:textId="77777777" w:rsidR="00664720" w:rsidRPr="0046664A" w:rsidRDefault="00664720" w:rsidP="00A1797B">
      <w:pPr>
        <w:spacing w:after="160"/>
        <w:rPr>
          <w:rFonts w:ascii="Arial" w:hAnsi="Arial" w:cs="Arial"/>
          <w:sz w:val="24"/>
          <w:szCs w:val="24"/>
        </w:rPr>
      </w:pPr>
      <w:r w:rsidRPr="0046664A">
        <w:rPr>
          <w:rFonts w:ascii="Arial" w:hAnsi="Arial" w:cs="Arial"/>
          <w:b/>
          <w:sz w:val="24"/>
          <w:szCs w:val="24"/>
        </w:rPr>
        <w:lastRenderedPageBreak/>
        <w:t xml:space="preserve">Mean gender pay gap: </w:t>
      </w:r>
      <w:r w:rsidRPr="0046664A">
        <w:rPr>
          <w:rFonts w:ascii="Arial" w:hAnsi="Arial" w:cs="Arial"/>
          <w:sz w:val="24"/>
          <w:szCs w:val="24"/>
        </w:rPr>
        <w:t>the difference between the mean hourly rate of pay of male full-pay relevant employees and that of female full-pay relevant employees.</w:t>
      </w:r>
    </w:p>
    <w:p w14:paraId="0332B832" w14:textId="77777777" w:rsidR="00664720" w:rsidRPr="0046664A" w:rsidRDefault="00664720" w:rsidP="00A1797B">
      <w:pPr>
        <w:spacing w:after="160"/>
        <w:rPr>
          <w:rFonts w:ascii="Arial" w:hAnsi="Arial" w:cs="Arial"/>
          <w:sz w:val="24"/>
          <w:szCs w:val="24"/>
        </w:rPr>
      </w:pPr>
      <w:r w:rsidRPr="0046664A">
        <w:rPr>
          <w:rFonts w:ascii="Arial" w:hAnsi="Arial" w:cs="Arial"/>
          <w:b/>
          <w:sz w:val="24"/>
          <w:szCs w:val="24"/>
        </w:rPr>
        <w:t>Median gender pay gap:</w:t>
      </w:r>
      <w:r w:rsidRPr="0046664A">
        <w:rPr>
          <w:rFonts w:ascii="Arial" w:hAnsi="Arial" w:cs="Arial"/>
          <w:sz w:val="24"/>
          <w:szCs w:val="24"/>
        </w:rPr>
        <w:t xml:space="preserve"> the difference between the median hourly rate of pay of male full-pay relevant employees and that of female full-pay relevant employees.</w:t>
      </w:r>
    </w:p>
    <w:p w14:paraId="2EDE7992" w14:textId="77777777" w:rsidR="00664720" w:rsidRPr="0046664A" w:rsidRDefault="00664720" w:rsidP="00A1797B">
      <w:pPr>
        <w:spacing w:after="160"/>
        <w:rPr>
          <w:rFonts w:ascii="Arial" w:hAnsi="Arial" w:cs="Arial"/>
          <w:b/>
          <w:sz w:val="24"/>
          <w:szCs w:val="24"/>
        </w:rPr>
      </w:pPr>
      <w:r w:rsidRPr="0046664A">
        <w:rPr>
          <w:rFonts w:ascii="Arial" w:hAnsi="Arial" w:cs="Arial"/>
          <w:b/>
          <w:sz w:val="24"/>
          <w:szCs w:val="24"/>
        </w:rPr>
        <w:t xml:space="preserve">Mean bonus gap: </w:t>
      </w:r>
      <w:r w:rsidRPr="0046664A">
        <w:rPr>
          <w:rFonts w:ascii="Arial" w:hAnsi="Arial" w:cs="Arial"/>
          <w:sz w:val="24"/>
          <w:szCs w:val="24"/>
        </w:rPr>
        <w:t>The difference between the mean bonus paid to male relevant employees and that paid to female relevant employees.</w:t>
      </w:r>
      <w:r w:rsidRPr="0046664A">
        <w:rPr>
          <w:rFonts w:ascii="Arial" w:hAnsi="Arial" w:cs="Arial"/>
          <w:b/>
          <w:sz w:val="24"/>
          <w:szCs w:val="24"/>
        </w:rPr>
        <w:t xml:space="preserve"> </w:t>
      </w:r>
    </w:p>
    <w:p w14:paraId="6FDD6E41" w14:textId="77777777" w:rsidR="00664720" w:rsidRPr="0046664A" w:rsidRDefault="00664720" w:rsidP="00A1797B">
      <w:pPr>
        <w:spacing w:after="160"/>
        <w:rPr>
          <w:rFonts w:ascii="Arial" w:hAnsi="Arial" w:cs="Arial"/>
          <w:sz w:val="24"/>
          <w:szCs w:val="24"/>
        </w:rPr>
      </w:pPr>
      <w:r w:rsidRPr="0046664A">
        <w:rPr>
          <w:rFonts w:ascii="Arial" w:hAnsi="Arial" w:cs="Arial"/>
          <w:b/>
          <w:sz w:val="24"/>
          <w:szCs w:val="24"/>
        </w:rPr>
        <w:t>Median bonus gap:</w:t>
      </w:r>
      <w:r w:rsidRPr="0046664A">
        <w:rPr>
          <w:rFonts w:ascii="Arial" w:hAnsi="Arial" w:cs="Arial"/>
          <w:sz w:val="24"/>
          <w:szCs w:val="24"/>
        </w:rPr>
        <w:t xml:space="preserve"> The difference between the median bonus paid to male relevant employees and that paid to female relevant employees.</w:t>
      </w:r>
    </w:p>
    <w:p w14:paraId="327A3717" w14:textId="77777777" w:rsidR="001A6CBF" w:rsidRPr="0046664A" w:rsidRDefault="001A6CBF" w:rsidP="00A1797B">
      <w:pPr>
        <w:spacing w:after="160"/>
        <w:rPr>
          <w:rFonts w:ascii="Arial" w:hAnsi="Arial" w:cs="Arial"/>
          <w:sz w:val="24"/>
          <w:szCs w:val="24"/>
        </w:rPr>
      </w:pPr>
      <w:r w:rsidRPr="0046664A">
        <w:rPr>
          <w:rFonts w:ascii="Arial" w:hAnsi="Arial" w:cs="Arial"/>
          <w:b/>
          <w:sz w:val="24"/>
          <w:szCs w:val="24"/>
        </w:rPr>
        <w:t>Bonus proportions:</w:t>
      </w:r>
      <w:r w:rsidRPr="0046664A">
        <w:rPr>
          <w:rFonts w:ascii="Arial" w:hAnsi="Arial" w:cs="Arial"/>
          <w:sz w:val="24"/>
          <w:szCs w:val="24"/>
        </w:rPr>
        <w:t xml:space="preserve"> The proportions of male and female relevant employees who were paid bonus pay during the relevant period.</w:t>
      </w:r>
    </w:p>
    <w:p w14:paraId="21A3DF1A" w14:textId="44069C48" w:rsidR="005E2CE0" w:rsidRPr="0046664A" w:rsidRDefault="001A6CBF" w:rsidP="00A1797B">
      <w:pPr>
        <w:spacing w:after="160"/>
        <w:rPr>
          <w:rFonts w:ascii="Arial" w:hAnsi="Arial" w:cs="Arial"/>
          <w:sz w:val="24"/>
          <w:szCs w:val="24"/>
        </w:rPr>
      </w:pPr>
      <w:r w:rsidRPr="0046664A">
        <w:rPr>
          <w:rFonts w:ascii="Arial" w:hAnsi="Arial" w:cs="Arial"/>
          <w:b/>
          <w:sz w:val="24"/>
          <w:szCs w:val="24"/>
        </w:rPr>
        <w:t>Quartile pay bands:</w:t>
      </w:r>
      <w:r w:rsidR="002C3C32" w:rsidRPr="0046664A">
        <w:rPr>
          <w:rFonts w:ascii="Arial" w:hAnsi="Arial" w:cs="Arial"/>
          <w:sz w:val="24"/>
          <w:szCs w:val="24"/>
        </w:rPr>
        <w:t xml:space="preserve"> The proportions of ma</w:t>
      </w:r>
      <w:r w:rsidRPr="0046664A">
        <w:rPr>
          <w:rFonts w:ascii="Arial" w:hAnsi="Arial" w:cs="Arial"/>
          <w:sz w:val="24"/>
          <w:szCs w:val="24"/>
        </w:rPr>
        <w:t>le and female full-pay relevant employees in the lower, lower-middle, upper middle and upper quartile pay bands.</w:t>
      </w:r>
    </w:p>
    <w:p w14:paraId="3CC71B7B" w14:textId="1483F2CD" w:rsidR="003F570A" w:rsidRPr="0023475A" w:rsidRDefault="000F7040" w:rsidP="0023475A">
      <w:pPr>
        <w:pStyle w:val="Heading1"/>
        <w:shd w:val="clear" w:color="auto" w:fill="DEEAF6" w:themeFill="accent1" w:themeFillTint="33"/>
        <w:spacing w:before="480" w:after="240"/>
        <w:rPr>
          <w:rFonts w:ascii="Arial" w:hAnsi="Arial" w:cs="Arial"/>
          <w:b/>
          <w:color w:val="auto"/>
          <w:sz w:val="26"/>
          <w:szCs w:val="26"/>
        </w:rPr>
      </w:pPr>
      <w:r w:rsidRPr="0023475A">
        <w:rPr>
          <w:rFonts w:ascii="Arial" w:hAnsi="Arial" w:cs="Arial"/>
          <w:b/>
          <w:color w:val="auto"/>
          <w:sz w:val="26"/>
          <w:szCs w:val="26"/>
        </w:rPr>
        <w:t xml:space="preserve">Gender </w:t>
      </w:r>
      <w:r w:rsidR="00216CAE" w:rsidRPr="0023475A">
        <w:rPr>
          <w:rFonts w:ascii="Arial" w:hAnsi="Arial" w:cs="Arial"/>
          <w:b/>
          <w:color w:val="auto"/>
          <w:sz w:val="26"/>
          <w:szCs w:val="26"/>
        </w:rPr>
        <w:t>P</w:t>
      </w:r>
      <w:r w:rsidRPr="0023475A">
        <w:rPr>
          <w:rFonts w:ascii="Arial" w:hAnsi="Arial" w:cs="Arial"/>
          <w:b/>
          <w:color w:val="auto"/>
          <w:sz w:val="26"/>
          <w:szCs w:val="26"/>
        </w:rPr>
        <w:t xml:space="preserve">ay </w:t>
      </w:r>
      <w:r w:rsidR="00216CAE" w:rsidRPr="0023475A">
        <w:rPr>
          <w:rFonts w:ascii="Arial" w:hAnsi="Arial" w:cs="Arial"/>
          <w:b/>
          <w:color w:val="auto"/>
          <w:sz w:val="26"/>
          <w:szCs w:val="26"/>
        </w:rPr>
        <w:t>G</w:t>
      </w:r>
      <w:r w:rsidRPr="0023475A">
        <w:rPr>
          <w:rFonts w:ascii="Arial" w:hAnsi="Arial" w:cs="Arial"/>
          <w:b/>
          <w:color w:val="auto"/>
          <w:sz w:val="26"/>
          <w:szCs w:val="26"/>
        </w:rPr>
        <w:t xml:space="preserve">ap </w:t>
      </w:r>
      <w:r w:rsidR="0023475A">
        <w:rPr>
          <w:rFonts w:ascii="Arial" w:hAnsi="Arial" w:cs="Arial"/>
          <w:b/>
          <w:color w:val="auto"/>
          <w:sz w:val="26"/>
          <w:szCs w:val="26"/>
        </w:rPr>
        <w:t xml:space="preserve">at </w:t>
      </w:r>
      <w:r w:rsidRPr="0023475A">
        <w:rPr>
          <w:rFonts w:ascii="Arial" w:hAnsi="Arial" w:cs="Arial"/>
          <w:b/>
          <w:color w:val="auto"/>
          <w:sz w:val="26"/>
          <w:szCs w:val="26"/>
        </w:rPr>
        <w:t>31 March 20</w:t>
      </w:r>
      <w:r w:rsidR="00D368FB" w:rsidRPr="0023475A">
        <w:rPr>
          <w:rFonts w:ascii="Arial" w:hAnsi="Arial" w:cs="Arial"/>
          <w:b/>
          <w:color w:val="auto"/>
          <w:sz w:val="26"/>
          <w:szCs w:val="26"/>
        </w:rPr>
        <w:t>22</w:t>
      </w:r>
    </w:p>
    <w:p w14:paraId="63FCEC76" w14:textId="786EFDB7" w:rsidR="00C001AD" w:rsidRPr="0023475A" w:rsidRDefault="00E9676A" w:rsidP="0023475A">
      <w:pPr>
        <w:pStyle w:val="Heading2"/>
        <w:spacing w:before="360" w:after="160"/>
        <w:rPr>
          <w:rFonts w:ascii="Arial" w:hAnsi="Arial" w:cs="Arial"/>
          <w:b/>
          <w:color w:val="auto"/>
          <w:sz w:val="24"/>
          <w:szCs w:val="24"/>
        </w:rPr>
      </w:pPr>
      <w:r w:rsidRPr="0023475A">
        <w:rPr>
          <w:rFonts w:ascii="Arial" w:hAnsi="Arial" w:cs="Arial"/>
          <w:b/>
          <w:color w:val="auto"/>
          <w:sz w:val="24"/>
          <w:szCs w:val="24"/>
        </w:rPr>
        <w:t xml:space="preserve">Figure </w:t>
      </w:r>
      <w:r w:rsidR="00B258CF" w:rsidRPr="0023475A">
        <w:rPr>
          <w:rFonts w:ascii="Arial" w:hAnsi="Arial" w:cs="Arial"/>
          <w:b/>
          <w:color w:val="auto"/>
          <w:sz w:val="24"/>
          <w:szCs w:val="24"/>
        </w:rPr>
        <w:t>3</w:t>
      </w:r>
      <w:r w:rsidR="0023475A" w:rsidRPr="0023475A">
        <w:rPr>
          <w:rFonts w:ascii="Arial" w:hAnsi="Arial" w:cs="Arial"/>
          <w:b/>
          <w:color w:val="auto"/>
          <w:sz w:val="24"/>
          <w:szCs w:val="24"/>
        </w:rPr>
        <w:t xml:space="preserve">: </w:t>
      </w:r>
      <w:r w:rsidR="00C001AD" w:rsidRPr="0023475A">
        <w:rPr>
          <w:rFonts w:ascii="Arial" w:hAnsi="Arial" w:cs="Arial"/>
          <w:b/>
          <w:color w:val="auto"/>
          <w:sz w:val="24"/>
          <w:szCs w:val="24"/>
        </w:rPr>
        <w:t xml:space="preserve">Mean </w:t>
      </w:r>
      <w:r w:rsidR="0023475A" w:rsidRPr="0023475A">
        <w:rPr>
          <w:rFonts w:ascii="Arial" w:hAnsi="Arial" w:cs="Arial"/>
          <w:b/>
          <w:color w:val="auto"/>
          <w:sz w:val="24"/>
          <w:szCs w:val="24"/>
        </w:rPr>
        <w:t xml:space="preserve">gender pay gap at </w:t>
      </w:r>
      <w:r w:rsidR="00C001AD" w:rsidRPr="0023475A">
        <w:rPr>
          <w:rFonts w:ascii="Arial" w:hAnsi="Arial" w:cs="Arial"/>
          <w:b/>
          <w:color w:val="auto"/>
          <w:sz w:val="24"/>
          <w:szCs w:val="24"/>
        </w:rPr>
        <w:t>31 March 2022</w:t>
      </w:r>
    </w:p>
    <w:p w14:paraId="64DBA7D1" w14:textId="588D7163" w:rsidR="008E03F3" w:rsidRDefault="000F5CF9" w:rsidP="00901645">
      <w:pPr>
        <w:jc w:val="center"/>
        <w:rPr>
          <w:rFonts w:ascii="Arial" w:hAnsi="Arial" w:cs="Arial"/>
          <w:b/>
          <w:sz w:val="24"/>
          <w:szCs w:val="24"/>
        </w:rPr>
      </w:pPr>
      <w:r>
        <w:rPr>
          <w:rFonts w:ascii="Arial" w:hAnsi="Arial" w:cs="Arial"/>
          <w:b/>
          <w:noProof/>
          <w:sz w:val="24"/>
          <w:szCs w:val="24"/>
          <w:lang w:eastAsia="en-GB"/>
        </w:rPr>
        <w:drawing>
          <wp:inline distT="0" distB="0" distL="0" distR="0" wp14:anchorId="2CD40E2F" wp14:editId="63C35B2B">
            <wp:extent cx="4584700" cy="2225040"/>
            <wp:effectExtent l="0" t="0" r="635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2225040"/>
                    </a:xfrm>
                    <a:prstGeom prst="rect">
                      <a:avLst/>
                    </a:prstGeom>
                    <a:noFill/>
                  </pic:spPr>
                </pic:pic>
              </a:graphicData>
            </a:graphic>
          </wp:inline>
        </w:drawing>
      </w:r>
    </w:p>
    <w:p w14:paraId="3AC4E408" w14:textId="07C5E127" w:rsidR="00C001AD" w:rsidRPr="0023475A" w:rsidRDefault="00E9676A" w:rsidP="0023475A">
      <w:pPr>
        <w:pStyle w:val="Heading2"/>
        <w:spacing w:before="480" w:after="160"/>
        <w:rPr>
          <w:rFonts w:ascii="Arial" w:hAnsi="Arial" w:cs="Arial"/>
          <w:b/>
          <w:color w:val="auto"/>
          <w:sz w:val="24"/>
          <w:szCs w:val="24"/>
        </w:rPr>
      </w:pPr>
      <w:r w:rsidRPr="0023475A">
        <w:rPr>
          <w:rFonts w:ascii="Arial" w:hAnsi="Arial" w:cs="Arial"/>
          <w:b/>
          <w:color w:val="auto"/>
          <w:sz w:val="24"/>
          <w:szCs w:val="24"/>
        </w:rPr>
        <w:t xml:space="preserve">Figure </w:t>
      </w:r>
      <w:r w:rsidR="00B258CF" w:rsidRPr="0023475A">
        <w:rPr>
          <w:rFonts w:ascii="Arial" w:hAnsi="Arial" w:cs="Arial"/>
          <w:b/>
          <w:color w:val="auto"/>
          <w:sz w:val="24"/>
          <w:szCs w:val="24"/>
        </w:rPr>
        <w:t>4</w:t>
      </w:r>
      <w:r w:rsidR="0023475A" w:rsidRPr="0023475A">
        <w:rPr>
          <w:rFonts w:ascii="Arial" w:hAnsi="Arial" w:cs="Arial"/>
          <w:b/>
          <w:color w:val="auto"/>
          <w:sz w:val="24"/>
          <w:szCs w:val="24"/>
        </w:rPr>
        <w:t xml:space="preserve">: </w:t>
      </w:r>
      <w:r w:rsidR="00C001AD" w:rsidRPr="0023475A">
        <w:rPr>
          <w:rFonts w:ascii="Arial" w:hAnsi="Arial" w:cs="Arial"/>
          <w:b/>
          <w:color w:val="auto"/>
          <w:sz w:val="24"/>
          <w:szCs w:val="24"/>
        </w:rPr>
        <w:t xml:space="preserve">Median </w:t>
      </w:r>
      <w:r w:rsidR="0023475A" w:rsidRPr="0023475A">
        <w:rPr>
          <w:rFonts w:ascii="Arial" w:hAnsi="Arial" w:cs="Arial"/>
          <w:b/>
          <w:color w:val="auto"/>
          <w:sz w:val="24"/>
          <w:szCs w:val="24"/>
        </w:rPr>
        <w:t xml:space="preserve">gender pay gap at </w:t>
      </w:r>
      <w:r w:rsidR="00C001AD" w:rsidRPr="0023475A">
        <w:rPr>
          <w:rFonts w:ascii="Arial" w:hAnsi="Arial" w:cs="Arial"/>
          <w:b/>
          <w:color w:val="auto"/>
          <w:sz w:val="24"/>
          <w:szCs w:val="24"/>
        </w:rPr>
        <w:t>31 March 2022</w:t>
      </w:r>
    </w:p>
    <w:p w14:paraId="51517E92" w14:textId="31CA8C85" w:rsidR="00E175E5" w:rsidRPr="0046664A" w:rsidRDefault="00E175E5" w:rsidP="00E175E5">
      <w:pPr>
        <w:jc w:val="center"/>
        <w:rPr>
          <w:rFonts w:ascii="Arial" w:hAnsi="Arial" w:cs="Arial"/>
          <w:b/>
          <w:sz w:val="24"/>
          <w:szCs w:val="24"/>
        </w:rPr>
      </w:pPr>
      <w:r>
        <w:rPr>
          <w:rFonts w:ascii="Arial" w:hAnsi="Arial" w:cs="Arial"/>
          <w:b/>
          <w:noProof/>
          <w:sz w:val="24"/>
          <w:szCs w:val="24"/>
          <w:lang w:eastAsia="en-GB"/>
        </w:rPr>
        <w:drawing>
          <wp:inline distT="0" distB="0" distL="0" distR="0" wp14:anchorId="23C04588" wp14:editId="3CA219F4">
            <wp:extent cx="4706620" cy="22193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06620" cy="2219325"/>
                    </a:xfrm>
                    <a:prstGeom prst="rect">
                      <a:avLst/>
                    </a:prstGeom>
                    <a:noFill/>
                  </pic:spPr>
                </pic:pic>
              </a:graphicData>
            </a:graphic>
          </wp:inline>
        </w:drawing>
      </w:r>
    </w:p>
    <w:p w14:paraId="06CB4BAF" w14:textId="055D3AD4" w:rsidR="001E6225" w:rsidRPr="0023475A" w:rsidRDefault="0023475A" w:rsidP="0023475A">
      <w:pPr>
        <w:pStyle w:val="Heading2"/>
        <w:spacing w:before="480" w:after="160"/>
        <w:rPr>
          <w:rFonts w:ascii="Arial" w:hAnsi="Arial" w:cs="Arial"/>
          <w:b/>
          <w:color w:val="auto"/>
          <w:sz w:val="24"/>
          <w:szCs w:val="24"/>
        </w:rPr>
      </w:pPr>
      <w:r w:rsidRPr="0023475A">
        <w:rPr>
          <w:rFonts w:ascii="Arial" w:hAnsi="Arial" w:cs="Arial"/>
          <w:b/>
          <w:color w:val="auto"/>
          <w:sz w:val="24"/>
          <w:szCs w:val="24"/>
        </w:rPr>
        <w:t>Table 1</w:t>
      </w:r>
      <w:r w:rsidRPr="0023475A">
        <w:rPr>
          <w:rFonts w:ascii="Arial" w:hAnsi="Arial" w:cs="Arial"/>
          <w:b/>
          <w:color w:val="auto"/>
          <w:sz w:val="24"/>
          <w:szCs w:val="24"/>
        </w:rPr>
        <w:t xml:space="preserve">: </w:t>
      </w:r>
      <w:r w:rsidR="001E6225" w:rsidRPr="0023475A">
        <w:rPr>
          <w:rFonts w:ascii="Arial" w:hAnsi="Arial" w:cs="Arial"/>
          <w:b/>
          <w:color w:val="auto"/>
          <w:sz w:val="24"/>
          <w:szCs w:val="24"/>
        </w:rPr>
        <w:t xml:space="preserve">Bonus </w:t>
      </w:r>
      <w:r w:rsidRPr="0023475A">
        <w:rPr>
          <w:rFonts w:ascii="Arial" w:hAnsi="Arial" w:cs="Arial"/>
          <w:b/>
          <w:color w:val="auto"/>
          <w:sz w:val="24"/>
          <w:szCs w:val="24"/>
        </w:rPr>
        <w:t>gender p</w:t>
      </w:r>
      <w:r w:rsidR="001E6225" w:rsidRPr="0023475A">
        <w:rPr>
          <w:rFonts w:ascii="Arial" w:hAnsi="Arial" w:cs="Arial"/>
          <w:b/>
          <w:color w:val="auto"/>
          <w:sz w:val="24"/>
          <w:szCs w:val="24"/>
        </w:rPr>
        <w:t>ay</w:t>
      </w:r>
      <w:r w:rsidRPr="0023475A">
        <w:rPr>
          <w:rFonts w:ascii="Arial" w:hAnsi="Arial" w:cs="Arial"/>
          <w:b/>
          <w:color w:val="auto"/>
          <w:sz w:val="24"/>
          <w:szCs w:val="24"/>
        </w:rPr>
        <w:t xml:space="preserve"> gap at</w:t>
      </w:r>
      <w:r w:rsidR="0097200A" w:rsidRPr="0023475A">
        <w:rPr>
          <w:rFonts w:ascii="Arial" w:hAnsi="Arial" w:cs="Arial"/>
          <w:b/>
          <w:color w:val="auto"/>
          <w:sz w:val="24"/>
          <w:szCs w:val="24"/>
        </w:rPr>
        <w:t xml:space="preserve"> </w:t>
      </w:r>
      <w:r>
        <w:rPr>
          <w:rFonts w:ascii="Arial" w:hAnsi="Arial" w:cs="Arial"/>
          <w:b/>
          <w:color w:val="auto"/>
          <w:sz w:val="24"/>
          <w:szCs w:val="24"/>
        </w:rPr>
        <w:t xml:space="preserve">31 </w:t>
      </w:r>
      <w:r w:rsidR="0097200A" w:rsidRPr="0023475A">
        <w:rPr>
          <w:rFonts w:ascii="Arial" w:hAnsi="Arial" w:cs="Arial"/>
          <w:b/>
          <w:color w:val="auto"/>
          <w:sz w:val="24"/>
          <w:szCs w:val="24"/>
        </w:rPr>
        <w:t>March 20</w:t>
      </w:r>
      <w:r w:rsidR="00D368FB" w:rsidRPr="0023475A">
        <w:rPr>
          <w:rFonts w:ascii="Arial" w:hAnsi="Arial" w:cs="Arial"/>
          <w:b/>
          <w:color w:val="auto"/>
          <w:sz w:val="24"/>
          <w:szCs w:val="24"/>
        </w:rPr>
        <w:t>22</w:t>
      </w:r>
    </w:p>
    <w:p w14:paraId="066C245B" w14:textId="1B599786" w:rsidR="005A4CED" w:rsidRPr="0046664A" w:rsidRDefault="000F5CF9" w:rsidP="002D5255">
      <w:pPr>
        <w:jc w:val="center"/>
        <w:rPr>
          <w:rFonts w:ascii="Arial" w:hAnsi="Arial" w:cs="Arial"/>
          <w:b/>
          <w:sz w:val="24"/>
          <w:szCs w:val="24"/>
        </w:rPr>
      </w:pPr>
      <w:r w:rsidRPr="000F5CF9">
        <w:rPr>
          <w:noProof/>
          <w:lang w:eastAsia="en-GB"/>
        </w:rPr>
        <w:drawing>
          <wp:inline distT="0" distB="0" distL="0" distR="0" wp14:anchorId="4A2954EF" wp14:editId="74988CAC">
            <wp:extent cx="4422140" cy="12636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2140" cy="1263650"/>
                    </a:xfrm>
                    <a:prstGeom prst="rect">
                      <a:avLst/>
                    </a:prstGeom>
                    <a:noFill/>
                    <a:ln>
                      <a:noFill/>
                    </a:ln>
                  </pic:spPr>
                </pic:pic>
              </a:graphicData>
            </a:graphic>
          </wp:inline>
        </w:drawing>
      </w:r>
    </w:p>
    <w:p w14:paraId="72703740" w14:textId="63E51687" w:rsidR="00497D1F" w:rsidRPr="0023475A" w:rsidRDefault="0023475A" w:rsidP="0023475A">
      <w:pPr>
        <w:pStyle w:val="Heading2"/>
        <w:spacing w:before="1440" w:after="160"/>
        <w:rPr>
          <w:rFonts w:ascii="Arial" w:hAnsi="Arial" w:cs="Arial"/>
          <w:b/>
          <w:color w:val="auto"/>
          <w:sz w:val="24"/>
          <w:szCs w:val="24"/>
        </w:rPr>
      </w:pPr>
      <w:r w:rsidRPr="0023475A">
        <w:rPr>
          <w:rFonts w:ascii="Arial" w:hAnsi="Arial" w:cs="Arial"/>
          <w:b/>
          <w:color w:val="auto"/>
          <w:sz w:val="24"/>
          <w:szCs w:val="24"/>
        </w:rPr>
        <w:t>Table 2</w:t>
      </w:r>
      <w:r w:rsidRPr="0023475A">
        <w:rPr>
          <w:rFonts w:ascii="Arial" w:hAnsi="Arial" w:cs="Arial"/>
          <w:b/>
          <w:color w:val="auto"/>
          <w:sz w:val="24"/>
          <w:szCs w:val="24"/>
        </w:rPr>
        <w:t>: Quartile pay b</w:t>
      </w:r>
      <w:r w:rsidR="000F7040" w:rsidRPr="0023475A">
        <w:rPr>
          <w:rFonts w:ascii="Arial" w:hAnsi="Arial" w:cs="Arial"/>
          <w:b/>
          <w:color w:val="auto"/>
          <w:sz w:val="24"/>
          <w:szCs w:val="24"/>
        </w:rPr>
        <w:t xml:space="preserve">ands </w:t>
      </w:r>
      <w:r w:rsidRPr="0023475A">
        <w:rPr>
          <w:rFonts w:ascii="Arial" w:hAnsi="Arial" w:cs="Arial"/>
          <w:b/>
          <w:color w:val="auto"/>
          <w:sz w:val="24"/>
          <w:szCs w:val="24"/>
        </w:rPr>
        <w:t xml:space="preserve">at </w:t>
      </w:r>
      <w:r w:rsidR="000F7040" w:rsidRPr="0023475A">
        <w:rPr>
          <w:rFonts w:ascii="Arial" w:hAnsi="Arial" w:cs="Arial"/>
          <w:b/>
          <w:color w:val="auto"/>
          <w:sz w:val="24"/>
          <w:szCs w:val="24"/>
        </w:rPr>
        <w:t>31 March 20</w:t>
      </w:r>
      <w:r w:rsidR="00D368FB" w:rsidRPr="0023475A">
        <w:rPr>
          <w:rFonts w:ascii="Arial" w:hAnsi="Arial" w:cs="Arial"/>
          <w:b/>
          <w:color w:val="auto"/>
          <w:sz w:val="24"/>
          <w:szCs w:val="24"/>
        </w:rPr>
        <w:t>22</w:t>
      </w:r>
    </w:p>
    <w:tbl>
      <w:tblPr>
        <w:tblW w:w="9854" w:type="dxa"/>
        <w:tblLayout w:type="fixed"/>
        <w:tblLook w:val="04A0" w:firstRow="1" w:lastRow="0" w:firstColumn="1" w:lastColumn="0" w:noHBand="0" w:noVBand="1"/>
      </w:tblPr>
      <w:tblGrid>
        <w:gridCol w:w="1179"/>
        <w:gridCol w:w="1180"/>
        <w:gridCol w:w="1180"/>
        <w:gridCol w:w="6315"/>
      </w:tblGrid>
      <w:tr w:rsidR="00C306F0" w:rsidRPr="0046664A" w14:paraId="0AE04044" w14:textId="77777777" w:rsidTr="00C306F0">
        <w:trPr>
          <w:trHeight w:val="600"/>
        </w:trPr>
        <w:tc>
          <w:tcPr>
            <w:tcW w:w="1179"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0F9C22B7" w14:textId="77777777" w:rsidR="00C306F0" w:rsidRPr="00C306F0" w:rsidRDefault="00C306F0" w:rsidP="002D5255">
            <w:pPr>
              <w:rPr>
                <w:rFonts w:ascii="Arial" w:eastAsia="Times New Roman" w:hAnsi="Arial" w:cs="Arial"/>
                <w:b/>
                <w:bCs/>
                <w:sz w:val="24"/>
                <w:szCs w:val="24"/>
                <w:lang w:eastAsia="en-GB"/>
              </w:rPr>
            </w:pPr>
            <w:r w:rsidRPr="00C306F0">
              <w:rPr>
                <w:rFonts w:ascii="Arial" w:eastAsia="Times New Roman" w:hAnsi="Arial" w:cs="Arial"/>
                <w:b/>
                <w:bCs/>
                <w:sz w:val="24"/>
                <w:szCs w:val="24"/>
                <w:lang w:eastAsia="en-GB"/>
              </w:rPr>
              <w:t>Quartile</w:t>
            </w:r>
          </w:p>
        </w:tc>
        <w:tc>
          <w:tcPr>
            <w:tcW w:w="1180" w:type="dxa"/>
            <w:tcBorders>
              <w:top w:val="single" w:sz="4" w:space="0" w:color="auto"/>
              <w:left w:val="nil"/>
              <w:bottom w:val="single" w:sz="4" w:space="0" w:color="auto"/>
              <w:right w:val="single" w:sz="4" w:space="0" w:color="auto"/>
            </w:tcBorders>
            <w:shd w:val="clear" w:color="000000" w:fill="DDEBF7"/>
            <w:noWrap/>
            <w:vAlign w:val="center"/>
            <w:hideMark/>
          </w:tcPr>
          <w:p w14:paraId="73EC7828" w14:textId="77777777" w:rsidR="00C306F0" w:rsidRPr="00C306F0" w:rsidRDefault="00C306F0" w:rsidP="002D5255">
            <w:pPr>
              <w:rPr>
                <w:rFonts w:ascii="Arial" w:eastAsia="Times New Roman" w:hAnsi="Arial" w:cs="Arial"/>
                <w:b/>
                <w:bCs/>
                <w:sz w:val="24"/>
                <w:szCs w:val="24"/>
                <w:lang w:eastAsia="en-GB"/>
              </w:rPr>
            </w:pPr>
            <w:r w:rsidRPr="00C306F0">
              <w:rPr>
                <w:rFonts w:ascii="Arial" w:eastAsia="Times New Roman" w:hAnsi="Arial" w:cs="Arial"/>
                <w:b/>
                <w:bCs/>
                <w:sz w:val="24"/>
                <w:szCs w:val="24"/>
                <w:lang w:eastAsia="en-GB"/>
              </w:rPr>
              <w:t>Males</w:t>
            </w:r>
          </w:p>
        </w:tc>
        <w:tc>
          <w:tcPr>
            <w:tcW w:w="1180" w:type="dxa"/>
            <w:tcBorders>
              <w:top w:val="single" w:sz="4" w:space="0" w:color="auto"/>
              <w:left w:val="nil"/>
              <w:bottom w:val="single" w:sz="4" w:space="0" w:color="auto"/>
              <w:right w:val="single" w:sz="4" w:space="0" w:color="auto"/>
            </w:tcBorders>
            <w:shd w:val="clear" w:color="000000" w:fill="DDEBF7"/>
            <w:noWrap/>
            <w:vAlign w:val="center"/>
            <w:hideMark/>
          </w:tcPr>
          <w:p w14:paraId="51CA80C7" w14:textId="77777777" w:rsidR="00C306F0" w:rsidRPr="00C306F0" w:rsidRDefault="00C306F0" w:rsidP="002D5255">
            <w:pPr>
              <w:rPr>
                <w:rFonts w:ascii="Arial" w:eastAsia="Times New Roman" w:hAnsi="Arial" w:cs="Arial"/>
                <w:b/>
                <w:bCs/>
                <w:sz w:val="24"/>
                <w:szCs w:val="24"/>
                <w:lang w:eastAsia="en-GB"/>
              </w:rPr>
            </w:pPr>
            <w:r w:rsidRPr="00C306F0">
              <w:rPr>
                <w:rFonts w:ascii="Arial" w:eastAsia="Times New Roman" w:hAnsi="Arial" w:cs="Arial"/>
                <w:b/>
                <w:bCs/>
                <w:sz w:val="24"/>
                <w:szCs w:val="24"/>
                <w:lang w:eastAsia="en-GB"/>
              </w:rPr>
              <w:t>Females</w:t>
            </w:r>
          </w:p>
        </w:tc>
        <w:tc>
          <w:tcPr>
            <w:tcW w:w="6315" w:type="dxa"/>
            <w:tcBorders>
              <w:top w:val="single" w:sz="4" w:space="0" w:color="auto"/>
              <w:left w:val="nil"/>
              <w:bottom w:val="single" w:sz="4" w:space="0" w:color="auto"/>
              <w:right w:val="single" w:sz="4" w:space="0" w:color="auto"/>
            </w:tcBorders>
            <w:shd w:val="clear" w:color="000000" w:fill="DDEBF7"/>
            <w:noWrap/>
            <w:vAlign w:val="center"/>
            <w:hideMark/>
          </w:tcPr>
          <w:p w14:paraId="60BB4202" w14:textId="77777777" w:rsidR="00C306F0" w:rsidRPr="00C306F0" w:rsidRDefault="00C306F0" w:rsidP="002D5255">
            <w:pPr>
              <w:rPr>
                <w:rFonts w:ascii="Arial" w:eastAsia="Times New Roman" w:hAnsi="Arial" w:cs="Arial"/>
                <w:b/>
                <w:bCs/>
                <w:sz w:val="24"/>
                <w:szCs w:val="24"/>
                <w:lang w:eastAsia="en-GB"/>
              </w:rPr>
            </w:pPr>
            <w:r w:rsidRPr="00C306F0">
              <w:rPr>
                <w:rFonts w:ascii="Arial" w:eastAsia="Times New Roman" w:hAnsi="Arial" w:cs="Arial"/>
                <w:b/>
                <w:bCs/>
                <w:sz w:val="24"/>
                <w:szCs w:val="24"/>
                <w:lang w:eastAsia="en-GB"/>
              </w:rPr>
              <w:t>Description</w:t>
            </w:r>
          </w:p>
        </w:tc>
      </w:tr>
      <w:tr w:rsidR="00C306F0" w:rsidRPr="0046664A" w14:paraId="1B4B24AB" w14:textId="77777777" w:rsidTr="00C306F0">
        <w:trPr>
          <w:trHeight w:val="600"/>
        </w:trPr>
        <w:tc>
          <w:tcPr>
            <w:tcW w:w="1179" w:type="dxa"/>
            <w:tcBorders>
              <w:top w:val="nil"/>
              <w:left w:val="single" w:sz="4" w:space="0" w:color="auto"/>
              <w:bottom w:val="single" w:sz="4" w:space="0" w:color="auto"/>
              <w:right w:val="single" w:sz="4" w:space="0" w:color="auto"/>
            </w:tcBorders>
            <w:shd w:val="clear" w:color="auto" w:fill="auto"/>
            <w:noWrap/>
            <w:vAlign w:val="center"/>
            <w:hideMark/>
          </w:tcPr>
          <w:p w14:paraId="580E15A4" w14:textId="77777777" w:rsidR="00C306F0" w:rsidRPr="00C306F0" w:rsidRDefault="00C306F0" w:rsidP="002D5255">
            <w:pPr>
              <w:jc w:val="center"/>
              <w:rPr>
                <w:rFonts w:ascii="Arial" w:eastAsia="Times New Roman" w:hAnsi="Arial" w:cs="Arial"/>
                <w:sz w:val="24"/>
                <w:szCs w:val="24"/>
                <w:lang w:eastAsia="en-GB"/>
              </w:rPr>
            </w:pPr>
            <w:r w:rsidRPr="00C306F0">
              <w:rPr>
                <w:rFonts w:ascii="Arial" w:eastAsia="Times New Roman" w:hAnsi="Arial" w:cs="Arial"/>
                <w:sz w:val="24"/>
                <w:szCs w:val="24"/>
                <w:lang w:eastAsia="en-GB"/>
              </w:rPr>
              <w:t>1</w:t>
            </w:r>
          </w:p>
        </w:tc>
        <w:tc>
          <w:tcPr>
            <w:tcW w:w="1180" w:type="dxa"/>
            <w:tcBorders>
              <w:top w:val="nil"/>
              <w:left w:val="nil"/>
              <w:bottom w:val="single" w:sz="4" w:space="0" w:color="auto"/>
              <w:right w:val="single" w:sz="4" w:space="0" w:color="auto"/>
            </w:tcBorders>
            <w:shd w:val="clear" w:color="auto" w:fill="auto"/>
            <w:noWrap/>
            <w:vAlign w:val="center"/>
            <w:hideMark/>
          </w:tcPr>
          <w:p w14:paraId="2F612379" w14:textId="77777777" w:rsidR="00C306F0" w:rsidRPr="00C306F0" w:rsidRDefault="00C306F0" w:rsidP="002D5255">
            <w:pPr>
              <w:jc w:val="center"/>
              <w:rPr>
                <w:rFonts w:ascii="Arial" w:eastAsia="Times New Roman" w:hAnsi="Arial" w:cs="Arial"/>
                <w:sz w:val="24"/>
                <w:szCs w:val="24"/>
                <w:lang w:eastAsia="en-GB"/>
              </w:rPr>
            </w:pPr>
            <w:r w:rsidRPr="00C306F0">
              <w:rPr>
                <w:rFonts w:ascii="Arial" w:eastAsia="Times New Roman" w:hAnsi="Arial" w:cs="Arial"/>
                <w:sz w:val="24"/>
                <w:szCs w:val="24"/>
                <w:lang w:eastAsia="en-GB"/>
              </w:rPr>
              <w:t>20%</w:t>
            </w:r>
          </w:p>
        </w:tc>
        <w:tc>
          <w:tcPr>
            <w:tcW w:w="1180" w:type="dxa"/>
            <w:tcBorders>
              <w:top w:val="nil"/>
              <w:left w:val="nil"/>
              <w:bottom w:val="single" w:sz="4" w:space="0" w:color="auto"/>
              <w:right w:val="single" w:sz="4" w:space="0" w:color="auto"/>
            </w:tcBorders>
            <w:shd w:val="clear" w:color="auto" w:fill="auto"/>
            <w:noWrap/>
            <w:vAlign w:val="center"/>
            <w:hideMark/>
          </w:tcPr>
          <w:p w14:paraId="3C9AAC34" w14:textId="77777777" w:rsidR="00C306F0" w:rsidRPr="00C306F0" w:rsidRDefault="00C306F0" w:rsidP="002D5255">
            <w:pPr>
              <w:jc w:val="center"/>
              <w:rPr>
                <w:rFonts w:ascii="Arial" w:eastAsia="Times New Roman" w:hAnsi="Arial" w:cs="Arial"/>
                <w:sz w:val="24"/>
                <w:szCs w:val="24"/>
                <w:lang w:eastAsia="en-GB"/>
              </w:rPr>
            </w:pPr>
            <w:r w:rsidRPr="00C306F0">
              <w:rPr>
                <w:rFonts w:ascii="Arial" w:eastAsia="Times New Roman" w:hAnsi="Arial" w:cs="Arial"/>
                <w:sz w:val="24"/>
                <w:szCs w:val="24"/>
                <w:lang w:eastAsia="en-GB"/>
              </w:rPr>
              <w:t>80%</w:t>
            </w:r>
          </w:p>
        </w:tc>
        <w:tc>
          <w:tcPr>
            <w:tcW w:w="6315" w:type="dxa"/>
            <w:tcBorders>
              <w:top w:val="nil"/>
              <w:left w:val="nil"/>
              <w:bottom w:val="single" w:sz="4" w:space="0" w:color="auto"/>
              <w:right w:val="single" w:sz="4" w:space="0" w:color="auto"/>
            </w:tcBorders>
            <w:shd w:val="clear" w:color="auto" w:fill="auto"/>
            <w:noWrap/>
            <w:hideMark/>
          </w:tcPr>
          <w:p w14:paraId="14CD192A" w14:textId="77777777" w:rsidR="00C306F0" w:rsidRPr="00C306F0" w:rsidRDefault="00C306F0" w:rsidP="002D5255">
            <w:pPr>
              <w:jc w:val="both"/>
              <w:rPr>
                <w:rFonts w:ascii="Arial" w:eastAsia="Times New Roman" w:hAnsi="Arial" w:cs="Arial"/>
                <w:sz w:val="24"/>
                <w:szCs w:val="24"/>
                <w:lang w:eastAsia="en-GB"/>
              </w:rPr>
            </w:pPr>
            <w:r w:rsidRPr="00C306F0">
              <w:rPr>
                <w:rFonts w:ascii="Arial" w:eastAsia="Times New Roman" w:hAnsi="Arial" w:cs="Arial"/>
                <w:sz w:val="24"/>
                <w:szCs w:val="24"/>
                <w:lang w:eastAsia="en-GB"/>
              </w:rPr>
              <w:t>Includes all employees whose standard hourly rate places them at or below the lower quartile.</w:t>
            </w:r>
          </w:p>
        </w:tc>
      </w:tr>
      <w:tr w:rsidR="00C306F0" w:rsidRPr="0046664A" w14:paraId="54701AA6" w14:textId="77777777" w:rsidTr="00C306F0">
        <w:trPr>
          <w:trHeight w:val="600"/>
        </w:trPr>
        <w:tc>
          <w:tcPr>
            <w:tcW w:w="1179" w:type="dxa"/>
            <w:tcBorders>
              <w:top w:val="nil"/>
              <w:left w:val="single" w:sz="4" w:space="0" w:color="auto"/>
              <w:bottom w:val="single" w:sz="4" w:space="0" w:color="auto"/>
              <w:right w:val="single" w:sz="4" w:space="0" w:color="auto"/>
            </w:tcBorders>
            <w:shd w:val="clear" w:color="auto" w:fill="auto"/>
            <w:noWrap/>
            <w:vAlign w:val="center"/>
            <w:hideMark/>
          </w:tcPr>
          <w:p w14:paraId="2CCA87BE" w14:textId="77777777" w:rsidR="00C306F0" w:rsidRPr="00C306F0" w:rsidRDefault="00C306F0" w:rsidP="002D5255">
            <w:pPr>
              <w:jc w:val="center"/>
              <w:rPr>
                <w:rFonts w:ascii="Arial" w:eastAsia="Times New Roman" w:hAnsi="Arial" w:cs="Arial"/>
                <w:sz w:val="24"/>
                <w:szCs w:val="24"/>
                <w:lang w:eastAsia="en-GB"/>
              </w:rPr>
            </w:pPr>
            <w:r w:rsidRPr="00C306F0">
              <w:rPr>
                <w:rFonts w:ascii="Arial" w:eastAsia="Times New Roman" w:hAnsi="Arial" w:cs="Arial"/>
                <w:sz w:val="24"/>
                <w:szCs w:val="24"/>
                <w:lang w:eastAsia="en-GB"/>
              </w:rPr>
              <w:t>2</w:t>
            </w:r>
          </w:p>
        </w:tc>
        <w:tc>
          <w:tcPr>
            <w:tcW w:w="1180" w:type="dxa"/>
            <w:tcBorders>
              <w:top w:val="nil"/>
              <w:left w:val="nil"/>
              <w:bottom w:val="single" w:sz="4" w:space="0" w:color="auto"/>
              <w:right w:val="single" w:sz="4" w:space="0" w:color="auto"/>
            </w:tcBorders>
            <w:shd w:val="clear" w:color="auto" w:fill="auto"/>
            <w:noWrap/>
            <w:vAlign w:val="center"/>
            <w:hideMark/>
          </w:tcPr>
          <w:p w14:paraId="70C652C5" w14:textId="77777777" w:rsidR="00C306F0" w:rsidRPr="00C306F0" w:rsidRDefault="00C306F0" w:rsidP="002D5255">
            <w:pPr>
              <w:jc w:val="center"/>
              <w:rPr>
                <w:rFonts w:ascii="Arial" w:eastAsia="Times New Roman" w:hAnsi="Arial" w:cs="Arial"/>
                <w:sz w:val="24"/>
                <w:szCs w:val="24"/>
                <w:lang w:eastAsia="en-GB"/>
              </w:rPr>
            </w:pPr>
            <w:r w:rsidRPr="00C306F0">
              <w:rPr>
                <w:rFonts w:ascii="Arial" w:eastAsia="Times New Roman" w:hAnsi="Arial" w:cs="Arial"/>
                <w:sz w:val="24"/>
                <w:szCs w:val="24"/>
                <w:lang w:eastAsia="en-GB"/>
              </w:rPr>
              <w:t>33%</w:t>
            </w:r>
          </w:p>
        </w:tc>
        <w:tc>
          <w:tcPr>
            <w:tcW w:w="1180" w:type="dxa"/>
            <w:tcBorders>
              <w:top w:val="nil"/>
              <w:left w:val="nil"/>
              <w:bottom w:val="single" w:sz="4" w:space="0" w:color="auto"/>
              <w:right w:val="single" w:sz="4" w:space="0" w:color="auto"/>
            </w:tcBorders>
            <w:shd w:val="clear" w:color="auto" w:fill="auto"/>
            <w:noWrap/>
            <w:vAlign w:val="center"/>
            <w:hideMark/>
          </w:tcPr>
          <w:p w14:paraId="03624C1A" w14:textId="77777777" w:rsidR="00C306F0" w:rsidRPr="00C306F0" w:rsidRDefault="00C306F0" w:rsidP="002D5255">
            <w:pPr>
              <w:jc w:val="center"/>
              <w:rPr>
                <w:rFonts w:ascii="Arial" w:eastAsia="Times New Roman" w:hAnsi="Arial" w:cs="Arial"/>
                <w:sz w:val="24"/>
                <w:szCs w:val="24"/>
                <w:lang w:eastAsia="en-GB"/>
              </w:rPr>
            </w:pPr>
            <w:r w:rsidRPr="00C306F0">
              <w:rPr>
                <w:rFonts w:ascii="Arial" w:eastAsia="Times New Roman" w:hAnsi="Arial" w:cs="Arial"/>
                <w:sz w:val="24"/>
                <w:szCs w:val="24"/>
                <w:lang w:eastAsia="en-GB"/>
              </w:rPr>
              <w:t>67%</w:t>
            </w:r>
          </w:p>
        </w:tc>
        <w:tc>
          <w:tcPr>
            <w:tcW w:w="6315" w:type="dxa"/>
            <w:tcBorders>
              <w:top w:val="nil"/>
              <w:left w:val="nil"/>
              <w:bottom w:val="single" w:sz="4" w:space="0" w:color="auto"/>
              <w:right w:val="single" w:sz="4" w:space="0" w:color="auto"/>
            </w:tcBorders>
            <w:shd w:val="clear" w:color="auto" w:fill="auto"/>
            <w:noWrap/>
            <w:hideMark/>
          </w:tcPr>
          <w:p w14:paraId="6D0E30B9" w14:textId="44462415" w:rsidR="00C306F0" w:rsidRPr="00C306F0" w:rsidRDefault="00C306F0" w:rsidP="002D5255">
            <w:pPr>
              <w:jc w:val="both"/>
              <w:rPr>
                <w:rFonts w:ascii="Arial" w:eastAsia="Times New Roman" w:hAnsi="Arial" w:cs="Arial"/>
                <w:sz w:val="24"/>
                <w:szCs w:val="24"/>
                <w:lang w:eastAsia="en-GB"/>
              </w:rPr>
            </w:pPr>
            <w:r w:rsidRPr="00C306F0">
              <w:rPr>
                <w:rFonts w:ascii="Arial" w:eastAsia="Times New Roman" w:hAnsi="Arial" w:cs="Arial"/>
                <w:sz w:val="24"/>
                <w:szCs w:val="24"/>
                <w:lang w:eastAsia="en-GB"/>
              </w:rPr>
              <w:t xml:space="preserve">Includes all employees whose standard hourly rate places them above the lower quartile but at or below the </w:t>
            </w:r>
            <w:r w:rsidR="00957D48" w:rsidRPr="00C306F0">
              <w:rPr>
                <w:rFonts w:ascii="Arial" w:eastAsia="Times New Roman" w:hAnsi="Arial" w:cs="Arial"/>
                <w:sz w:val="24"/>
                <w:szCs w:val="24"/>
                <w:lang w:eastAsia="en-GB"/>
              </w:rPr>
              <w:t>median.</w:t>
            </w:r>
          </w:p>
        </w:tc>
      </w:tr>
      <w:tr w:rsidR="00C306F0" w:rsidRPr="0046664A" w14:paraId="69166D4F" w14:textId="77777777" w:rsidTr="00C306F0">
        <w:trPr>
          <w:trHeight w:val="600"/>
        </w:trPr>
        <w:tc>
          <w:tcPr>
            <w:tcW w:w="1179" w:type="dxa"/>
            <w:tcBorders>
              <w:top w:val="nil"/>
              <w:left w:val="single" w:sz="4" w:space="0" w:color="auto"/>
              <w:bottom w:val="single" w:sz="4" w:space="0" w:color="auto"/>
              <w:right w:val="single" w:sz="4" w:space="0" w:color="auto"/>
            </w:tcBorders>
            <w:shd w:val="clear" w:color="auto" w:fill="auto"/>
            <w:noWrap/>
            <w:vAlign w:val="center"/>
            <w:hideMark/>
          </w:tcPr>
          <w:p w14:paraId="6BBB2C71" w14:textId="77777777" w:rsidR="00C306F0" w:rsidRPr="00C306F0" w:rsidRDefault="00C306F0" w:rsidP="002D5255">
            <w:pPr>
              <w:jc w:val="center"/>
              <w:rPr>
                <w:rFonts w:ascii="Arial" w:eastAsia="Times New Roman" w:hAnsi="Arial" w:cs="Arial"/>
                <w:sz w:val="24"/>
                <w:szCs w:val="24"/>
                <w:lang w:eastAsia="en-GB"/>
              </w:rPr>
            </w:pPr>
            <w:r w:rsidRPr="00C306F0">
              <w:rPr>
                <w:rFonts w:ascii="Arial" w:eastAsia="Times New Roman" w:hAnsi="Arial" w:cs="Arial"/>
                <w:sz w:val="24"/>
                <w:szCs w:val="24"/>
                <w:lang w:eastAsia="en-GB"/>
              </w:rPr>
              <w:t>3</w:t>
            </w:r>
          </w:p>
        </w:tc>
        <w:tc>
          <w:tcPr>
            <w:tcW w:w="1180" w:type="dxa"/>
            <w:tcBorders>
              <w:top w:val="nil"/>
              <w:left w:val="nil"/>
              <w:bottom w:val="single" w:sz="4" w:space="0" w:color="auto"/>
              <w:right w:val="single" w:sz="4" w:space="0" w:color="auto"/>
            </w:tcBorders>
            <w:shd w:val="clear" w:color="auto" w:fill="auto"/>
            <w:noWrap/>
            <w:vAlign w:val="center"/>
            <w:hideMark/>
          </w:tcPr>
          <w:p w14:paraId="06A4D89A" w14:textId="77777777" w:rsidR="00C306F0" w:rsidRPr="00C306F0" w:rsidRDefault="00C306F0" w:rsidP="002D5255">
            <w:pPr>
              <w:jc w:val="center"/>
              <w:rPr>
                <w:rFonts w:ascii="Arial" w:eastAsia="Times New Roman" w:hAnsi="Arial" w:cs="Arial"/>
                <w:sz w:val="24"/>
                <w:szCs w:val="24"/>
                <w:lang w:eastAsia="en-GB"/>
              </w:rPr>
            </w:pPr>
            <w:r w:rsidRPr="00C306F0">
              <w:rPr>
                <w:rFonts w:ascii="Arial" w:eastAsia="Times New Roman" w:hAnsi="Arial" w:cs="Arial"/>
                <w:sz w:val="24"/>
                <w:szCs w:val="24"/>
                <w:lang w:eastAsia="en-GB"/>
              </w:rPr>
              <w:t>33%</w:t>
            </w:r>
          </w:p>
        </w:tc>
        <w:tc>
          <w:tcPr>
            <w:tcW w:w="1180" w:type="dxa"/>
            <w:tcBorders>
              <w:top w:val="nil"/>
              <w:left w:val="nil"/>
              <w:bottom w:val="single" w:sz="4" w:space="0" w:color="auto"/>
              <w:right w:val="single" w:sz="4" w:space="0" w:color="auto"/>
            </w:tcBorders>
            <w:shd w:val="clear" w:color="auto" w:fill="auto"/>
            <w:noWrap/>
            <w:vAlign w:val="center"/>
            <w:hideMark/>
          </w:tcPr>
          <w:p w14:paraId="7D162EA2" w14:textId="77777777" w:rsidR="00C306F0" w:rsidRPr="00C306F0" w:rsidRDefault="00C306F0" w:rsidP="002D5255">
            <w:pPr>
              <w:jc w:val="center"/>
              <w:rPr>
                <w:rFonts w:ascii="Arial" w:eastAsia="Times New Roman" w:hAnsi="Arial" w:cs="Arial"/>
                <w:sz w:val="24"/>
                <w:szCs w:val="24"/>
                <w:lang w:eastAsia="en-GB"/>
              </w:rPr>
            </w:pPr>
            <w:r w:rsidRPr="00C306F0">
              <w:rPr>
                <w:rFonts w:ascii="Arial" w:eastAsia="Times New Roman" w:hAnsi="Arial" w:cs="Arial"/>
                <w:sz w:val="24"/>
                <w:szCs w:val="24"/>
                <w:lang w:eastAsia="en-GB"/>
              </w:rPr>
              <w:t>67%</w:t>
            </w:r>
          </w:p>
        </w:tc>
        <w:tc>
          <w:tcPr>
            <w:tcW w:w="6315" w:type="dxa"/>
            <w:tcBorders>
              <w:top w:val="nil"/>
              <w:left w:val="nil"/>
              <w:bottom w:val="single" w:sz="4" w:space="0" w:color="auto"/>
              <w:right w:val="single" w:sz="4" w:space="0" w:color="auto"/>
            </w:tcBorders>
            <w:shd w:val="clear" w:color="auto" w:fill="auto"/>
            <w:noWrap/>
            <w:hideMark/>
          </w:tcPr>
          <w:p w14:paraId="570800E0" w14:textId="77777777" w:rsidR="00C306F0" w:rsidRPr="00C306F0" w:rsidRDefault="00C306F0" w:rsidP="002D5255">
            <w:pPr>
              <w:jc w:val="both"/>
              <w:rPr>
                <w:rFonts w:ascii="Arial" w:eastAsia="Times New Roman" w:hAnsi="Arial" w:cs="Arial"/>
                <w:sz w:val="24"/>
                <w:szCs w:val="24"/>
                <w:lang w:eastAsia="en-GB"/>
              </w:rPr>
            </w:pPr>
            <w:r w:rsidRPr="00C306F0">
              <w:rPr>
                <w:rFonts w:ascii="Arial" w:eastAsia="Times New Roman" w:hAnsi="Arial" w:cs="Arial"/>
                <w:sz w:val="24"/>
                <w:szCs w:val="24"/>
                <w:lang w:eastAsia="en-GB"/>
              </w:rPr>
              <w:t>Includes all employees whose standard hourly rate places them above the median but at or below the upper quartile.</w:t>
            </w:r>
          </w:p>
        </w:tc>
      </w:tr>
      <w:tr w:rsidR="00C306F0" w:rsidRPr="0046664A" w14:paraId="5F6AEC4D" w14:textId="77777777" w:rsidTr="00C306F0">
        <w:trPr>
          <w:trHeight w:val="600"/>
        </w:trPr>
        <w:tc>
          <w:tcPr>
            <w:tcW w:w="1179" w:type="dxa"/>
            <w:tcBorders>
              <w:top w:val="nil"/>
              <w:left w:val="single" w:sz="4" w:space="0" w:color="auto"/>
              <w:bottom w:val="single" w:sz="4" w:space="0" w:color="auto"/>
              <w:right w:val="single" w:sz="4" w:space="0" w:color="auto"/>
            </w:tcBorders>
            <w:shd w:val="clear" w:color="auto" w:fill="auto"/>
            <w:noWrap/>
            <w:vAlign w:val="center"/>
            <w:hideMark/>
          </w:tcPr>
          <w:p w14:paraId="1C6C6B09" w14:textId="77777777" w:rsidR="00C306F0" w:rsidRPr="00C306F0" w:rsidRDefault="00C306F0" w:rsidP="002D5255">
            <w:pPr>
              <w:jc w:val="center"/>
              <w:rPr>
                <w:rFonts w:ascii="Arial" w:eastAsia="Times New Roman" w:hAnsi="Arial" w:cs="Arial"/>
                <w:sz w:val="24"/>
                <w:szCs w:val="24"/>
                <w:lang w:eastAsia="en-GB"/>
              </w:rPr>
            </w:pPr>
            <w:r w:rsidRPr="00C306F0">
              <w:rPr>
                <w:rFonts w:ascii="Arial" w:eastAsia="Times New Roman" w:hAnsi="Arial" w:cs="Arial"/>
                <w:sz w:val="24"/>
                <w:szCs w:val="24"/>
                <w:lang w:eastAsia="en-GB"/>
              </w:rPr>
              <w:t>4</w:t>
            </w:r>
          </w:p>
        </w:tc>
        <w:tc>
          <w:tcPr>
            <w:tcW w:w="1180" w:type="dxa"/>
            <w:tcBorders>
              <w:top w:val="nil"/>
              <w:left w:val="nil"/>
              <w:bottom w:val="single" w:sz="4" w:space="0" w:color="auto"/>
              <w:right w:val="single" w:sz="4" w:space="0" w:color="auto"/>
            </w:tcBorders>
            <w:shd w:val="clear" w:color="auto" w:fill="auto"/>
            <w:noWrap/>
            <w:vAlign w:val="center"/>
            <w:hideMark/>
          </w:tcPr>
          <w:p w14:paraId="0652EB00" w14:textId="77777777" w:rsidR="00C306F0" w:rsidRPr="00C306F0" w:rsidRDefault="00C306F0" w:rsidP="002D5255">
            <w:pPr>
              <w:jc w:val="center"/>
              <w:rPr>
                <w:rFonts w:ascii="Arial" w:eastAsia="Times New Roman" w:hAnsi="Arial" w:cs="Arial"/>
                <w:sz w:val="24"/>
                <w:szCs w:val="24"/>
                <w:lang w:eastAsia="en-GB"/>
              </w:rPr>
            </w:pPr>
            <w:r w:rsidRPr="00C306F0">
              <w:rPr>
                <w:rFonts w:ascii="Arial" w:eastAsia="Times New Roman" w:hAnsi="Arial" w:cs="Arial"/>
                <w:sz w:val="24"/>
                <w:szCs w:val="24"/>
                <w:lang w:eastAsia="en-GB"/>
              </w:rPr>
              <w:t>50%</w:t>
            </w:r>
          </w:p>
        </w:tc>
        <w:tc>
          <w:tcPr>
            <w:tcW w:w="1180" w:type="dxa"/>
            <w:tcBorders>
              <w:top w:val="nil"/>
              <w:left w:val="nil"/>
              <w:bottom w:val="single" w:sz="4" w:space="0" w:color="auto"/>
              <w:right w:val="single" w:sz="4" w:space="0" w:color="auto"/>
            </w:tcBorders>
            <w:shd w:val="clear" w:color="auto" w:fill="auto"/>
            <w:noWrap/>
            <w:vAlign w:val="center"/>
            <w:hideMark/>
          </w:tcPr>
          <w:p w14:paraId="360E115A" w14:textId="77777777" w:rsidR="00C306F0" w:rsidRPr="00C306F0" w:rsidRDefault="00C306F0" w:rsidP="002D5255">
            <w:pPr>
              <w:jc w:val="center"/>
              <w:rPr>
                <w:rFonts w:ascii="Arial" w:eastAsia="Times New Roman" w:hAnsi="Arial" w:cs="Arial"/>
                <w:sz w:val="24"/>
                <w:szCs w:val="24"/>
                <w:lang w:eastAsia="en-GB"/>
              </w:rPr>
            </w:pPr>
            <w:r w:rsidRPr="00C306F0">
              <w:rPr>
                <w:rFonts w:ascii="Arial" w:eastAsia="Times New Roman" w:hAnsi="Arial" w:cs="Arial"/>
                <w:sz w:val="24"/>
                <w:szCs w:val="24"/>
                <w:lang w:eastAsia="en-GB"/>
              </w:rPr>
              <w:t>50%</w:t>
            </w:r>
          </w:p>
        </w:tc>
        <w:tc>
          <w:tcPr>
            <w:tcW w:w="6315" w:type="dxa"/>
            <w:tcBorders>
              <w:top w:val="nil"/>
              <w:left w:val="nil"/>
              <w:bottom w:val="single" w:sz="4" w:space="0" w:color="auto"/>
              <w:right w:val="single" w:sz="4" w:space="0" w:color="auto"/>
            </w:tcBorders>
            <w:shd w:val="clear" w:color="auto" w:fill="auto"/>
            <w:noWrap/>
            <w:hideMark/>
          </w:tcPr>
          <w:p w14:paraId="54BC85EE" w14:textId="77777777" w:rsidR="00C306F0" w:rsidRPr="00C306F0" w:rsidRDefault="00C306F0" w:rsidP="002D5255">
            <w:pPr>
              <w:jc w:val="both"/>
              <w:rPr>
                <w:rFonts w:ascii="Arial" w:eastAsia="Times New Roman" w:hAnsi="Arial" w:cs="Arial"/>
                <w:sz w:val="24"/>
                <w:szCs w:val="24"/>
                <w:lang w:eastAsia="en-GB"/>
              </w:rPr>
            </w:pPr>
            <w:r w:rsidRPr="00C306F0">
              <w:rPr>
                <w:rFonts w:ascii="Arial" w:eastAsia="Times New Roman" w:hAnsi="Arial" w:cs="Arial"/>
                <w:sz w:val="24"/>
                <w:szCs w:val="24"/>
                <w:lang w:eastAsia="en-GB"/>
              </w:rPr>
              <w:t>Includes all employees whose standard hourly rate places them above the upper quartile.</w:t>
            </w:r>
          </w:p>
        </w:tc>
      </w:tr>
    </w:tbl>
    <w:p w14:paraId="00ABE900" w14:textId="2F19FAAA" w:rsidR="00F862DB" w:rsidRPr="0023475A" w:rsidRDefault="00F862DB" w:rsidP="0023475A">
      <w:pPr>
        <w:pStyle w:val="Heading1"/>
        <w:shd w:val="clear" w:color="auto" w:fill="DEEAF6" w:themeFill="accent1" w:themeFillTint="33"/>
        <w:spacing w:before="720" w:after="240"/>
        <w:rPr>
          <w:rFonts w:ascii="Arial" w:hAnsi="Arial" w:cs="Arial"/>
          <w:b/>
          <w:color w:val="auto"/>
          <w:sz w:val="26"/>
          <w:szCs w:val="26"/>
        </w:rPr>
      </w:pPr>
      <w:r w:rsidRPr="0023475A">
        <w:rPr>
          <w:rFonts w:ascii="Arial" w:hAnsi="Arial" w:cs="Arial"/>
          <w:b/>
          <w:color w:val="auto"/>
          <w:sz w:val="26"/>
          <w:szCs w:val="26"/>
        </w:rPr>
        <w:t xml:space="preserve">Comparison of </w:t>
      </w:r>
      <w:r w:rsidR="0023475A">
        <w:rPr>
          <w:rFonts w:ascii="Arial" w:hAnsi="Arial" w:cs="Arial"/>
          <w:b/>
          <w:color w:val="auto"/>
          <w:sz w:val="26"/>
          <w:szCs w:val="26"/>
        </w:rPr>
        <w:t>m</w:t>
      </w:r>
      <w:r w:rsidR="00E1468F" w:rsidRPr="0023475A">
        <w:rPr>
          <w:rFonts w:ascii="Arial" w:hAnsi="Arial" w:cs="Arial"/>
          <w:b/>
          <w:color w:val="auto"/>
          <w:sz w:val="26"/>
          <w:szCs w:val="26"/>
        </w:rPr>
        <w:t xml:space="preserve">ean and </w:t>
      </w:r>
      <w:r w:rsidR="0023475A">
        <w:rPr>
          <w:rFonts w:ascii="Arial" w:hAnsi="Arial" w:cs="Arial"/>
          <w:b/>
          <w:color w:val="auto"/>
          <w:sz w:val="26"/>
          <w:szCs w:val="26"/>
        </w:rPr>
        <w:t>m</w:t>
      </w:r>
      <w:r w:rsidR="00E1468F" w:rsidRPr="0023475A">
        <w:rPr>
          <w:rFonts w:ascii="Arial" w:hAnsi="Arial" w:cs="Arial"/>
          <w:b/>
          <w:color w:val="auto"/>
          <w:sz w:val="26"/>
          <w:szCs w:val="26"/>
        </w:rPr>
        <w:t>edian</w:t>
      </w:r>
      <w:r w:rsidR="0023475A">
        <w:rPr>
          <w:rFonts w:ascii="Arial" w:hAnsi="Arial" w:cs="Arial"/>
          <w:b/>
          <w:color w:val="auto"/>
          <w:sz w:val="26"/>
          <w:szCs w:val="26"/>
        </w:rPr>
        <w:t xml:space="preserve"> pay gap over time</w:t>
      </w:r>
    </w:p>
    <w:p w14:paraId="718B3139" w14:textId="030C182F" w:rsidR="00833716" w:rsidRPr="0023475A" w:rsidRDefault="0023475A" w:rsidP="0023475A">
      <w:pPr>
        <w:pStyle w:val="Heading2"/>
        <w:spacing w:before="240" w:after="240"/>
        <w:rPr>
          <w:rFonts w:ascii="Arial" w:hAnsi="Arial" w:cs="Arial"/>
          <w:b/>
          <w:color w:val="auto"/>
          <w:sz w:val="24"/>
          <w:szCs w:val="24"/>
        </w:rPr>
      </w:pPr>
      <w:r w:rsidRPr="0023475A">
        <w:rPr>
          <w:rFonts w:ascii="Arial" w:hAnsi="Arial" w:cs="Arial"/>
          <w:b/>
          <w:color w:val="auto"/>
          <w:sz w:val="24"/>
          <w:szCs w:val="24"/>
        </w:rPr>
        <w:t>F</w:t>
      </w:r>
      <w:r w:rsidRPr="0023475A">
        <w:rPr>
          <w:rFonts w:ascii="Arial" w:hAnsi="Arial" w:cs="Arial"/>
          <w:b/>
          <w:color w:val="auto"/>
          <w:sz w:val="24"/>
          <w:szCs w:val="24"/>
        </w:rPr>
        <w:t>i</w:t>
      </w:r>
      <w:r w:rsidRPr="0023475A">
        <w:rPr>
          <w:rFonts w:ascii="Arial" w:hAnsi="Arial" w:cs="Arial"/>
          <w:b/>
          <w:color w:val="auto"/>
          <w:sz w:val="24"/>
          <w:szCs w:val="24"/>
        </w:rPr>
        <w:t>gure 5</w:t>
      </w:r>
      <w:r w:rsidRPr="0023475A">
        <w:rPr>
          <w:rFonts w:ascii="Arial" w:hAnsi="Arial" w:cs="Arial"/>
          <w:b/>
          <w:color w:val="auto"/>
          <w:sz w:val="24"/>
          <w:szCs w:val="24"/>
        </w:rPr>
        <w:t xml:space="preserve">: </w:t>
      </w:r>
      <w:r w:rsidR="004855FB" w:rsidRPr="0023475A">
        <w:rPr>
          <w:rFonts w:ascii="Arial" w:hAnsi="Arial" w:cs="Arial"/>
          <w:b/>
          <w:color w:val="auto"/>
          <w:sz w:val="24"/>
          <w:szCs w:val="24"/>
        </w:rPr>
        <w:t>Mean hourly pay rate comparison</w:t>
      </w:r>
    </w:p>
    <w:p w14:paraId="72F328CC" w14:textId="3FE3D3EF" w:rsidR="001411FE" w:rsidRPr="0046664A" w:rsidRDefault="00AA003B" w:rsidP="002D5255">
      <w:pPr>
        <w:jc w:val="center"/>
        <w:rPr>
          <w:rFonts w:ascii="Arial" w:hAnsi="Arial" w:cs="Arial"/>
          <w:b/>
          <w:bCs/>
          <w:sz w:val="24"/>
          <w:szCs w:val="24"/>
        </w:rPr>
      </w:pPr>
      <w:r w:rsidRPr="0046664A">
        <w:rPr>
          <w:rFonts w:ascii="Arial" w:hAnsi="Arial" w:cs="Arial"/>
          <w:noProof/>
          <w:sz w:val="24"/>
          <w:szCs w:val="24"/>
          <w:lang w:eastAsia="en-GB"/>
        </w:rPr>
        <w:lastRenderedPageBreak/>
        <w:drawing>
          <wp:inline distT="0" distB="0" distL="0" distR="0" wp14:anchorId="24531B46" wp14:editId="338C8E0C">
            <wp:extent cx="5864860" cy="3326859"/>
            <wp:effectExtent l="0" t="0" r="2540" b="6985"/>
            <wp:docPr id="1" name="Chart 1">
              <a:extLst xmlns:a="http://schemas.openxmlformats.org/drawingml/2006/main">
                <a:ext uri="{FF2B5EF4-FFF2-40B4-BE49-F238E27FC236}">
                  <a16:creationId xmlns:a16="http://schemas.microsoft.com/office/drawing/2014/main" id="{CC04A519-636F-4914-BD0B-354CB2DB15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E36F53F" w14:textId="71F0FAC8" w:rsidR="00811138" w:rsidRPr="0023475A" w:rsidRDefault="00833716" w:rsidP="0023475A">
      <w:pPr>
        <w:pStyle w:val="Heading2"/>
        <w:spacing w:before="3120" w:after="240"/>
        <w:rPr>
          <w:rFonts w:ascii="Arial" w:hAnsi="Arial" w:cs="Arial"/>
          <w:b/>
          <w:color w:val="auto"/>
          <w:sz w:val="24"/>
          <w:szCs w:val="24"/>
        </w:rPr>
      </w:pPr>
      <w:r w:rsidRPr="0023475A">
        <w:rPr>
          <w:rFonts w:ascii="Arial" w:hAnsi="Arial" w:cs="Arial"/>
          <w:b/>
          <w:color w:val="auto"/>
          <w:sz w:val="24"/>
          <w:szCs w:val="24"/>
        </w:rPr>
        <w:t xml:space="preserve">Figure </w:t>
      </w:r>
      <w:r w:rsidR="00441332" w:rsidRPr="0023475A">
        <w:rPr>
          <w:rFonts w:ascii="Arial" w:hAnsi="Arial" w:cs="Arial"/>
          <w:b/>
          <w:color w:val="auto"/>
          <w:sz w:val="24"/>
          <w:szCs w:val="24"/>
        </w:rPr>
        <w:t>6</w:t>
      </w:r>
      <w:r w:rsidR="0023475A" w:rsidRPr="0023475A">
        <w:rPr>
          <w:rFonts w:ascii="Arial" w:hAnsi="Arial" w:cs="Arial"/>
          <w:b/>
          <w:color w:val="auto"/>
          <w:sz w:val="24"/>
          <w:szCs w:val="24"/>
        </w:rPr>
        <w:t xml:space="preserve">: </w:t>
      </w:r>
      <w:r w:rsidR="004855FB" w:rsidRPr="0023475A">
        <w:rPr>
          <w:rFonts w:ascii="Arial" w:hAnsi="Arial" w:cs="Arial"/>
          <w:b/>
          <w:color w:val="auto"/>
          <w:sz w:val="24"/>
          <w:szCs w:val="24"/>
        </w:rPr>
        <w:t>Median hourly pay rate comparison</w:t>
      </w:r>
    </w:p>
    <w:p w14:paraId="1A6795D7" w14:textId="638593A2" w:rsidR="00796711" w:rsidRPr="0046664A" w:rsidRDefault="0013743A" w:rsidP="002D5255">
      <w:pPr>
        <w:jc w:val="center"/>
        <w:rPr>
          <w:rFonts w:ascii="Arial" w:hAnsi="Arial" w:cs="Arial"/>
          <w:b/>
          <w:sz w:val="24"/>
          <w:szCs w:val="24"/>
        </w:rPr>
      </w:pPr>
      <w:r w:rsidRPr="0046664A">
        <w:rPr>
          <w:rFonts w:ascii="Arial" w:hAnsi="Arial" w:cs="Arial"/>
          <w:b/>
          <w:noProof/>
          <w:sz w:val="24"/>
          <w:szCs w:val="24"/>
          <w:lang w:eastAsia="en-GB"/>
        </w:rPr>
        <w:drawing>
          <wp:inline distT="0" distB="0" distL="0" distR="0" wp14:anchorId="0016DC72" wp14:editId="72A11AD0">
            <wp:extent cx="5852795" cy="317627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52795" cy="3176270"/>
                    </a:xfrm>
                    <a:prstGeom prst="rect">
                      <a:avLst/>
                    </a:prstGeom>
                    <a:noFill/>
                  </pic:spPr>
                </pic:pic>
              </a:graphicData>
            </a:graphic>
          </wp:inline>
        </w:drawing>
      </w:r>
    </w:p>
    <w:p w14:paraId="0D6B35B3" w14:textId="339BB6F0" w:rsidR="00811138" w:rsidRPr="0023475A" w:rsidRDefault="0023475A" w:rsidP="0023475A">
      <w:pPr>
        <w:pStyle w:val="Heading2"/>
        <w:spacing w:before="360" w:after="240"/>
        <w:rPr>
          <w:rFonts w:ascii="Arial" w:hAnsi="Arial" w:cs="Arial"/>
          <w:b/>
          <w:color w:val="auto"/>
          <w:sz w:val="24"/>
          <w:szCs w:val="24"/>
        </w:rPr>
      </w:pPr>
      <w:r w:rsidRPr="0046664A">
        <w:rPr>
          <w:rFonts w:ascii="Arial" w:hAnsi="Arial" w:cs="Arial"/>
          <w:noProof/>
          <w:sz w:val="24"/>
          <w:szCs w:val="24"/>
          <w:lang w:eastAsia="en-GB"/>
        </w:rPr>
        <w:drawing>
          <wp:anchor distT="0" distB="0" distL="114300" distR="114300" simplePos="0" relativeHeight="251671552" behindDoc="1" locked="0" layoutInCell="1" allowOverlap="1" wp14:anchorId="70F7C8AA" wp14:editId="6122EC6B">
            <wp:simplePos x="0" y="0"/>
            <wp:positionH relativeFrom="margin">
              <wp:posOffset>-309880</wp:posOffset>
            </wp:positionH>
            <wp:positionV relativeFrom="paragraph">
              <wp:posOffset>491490</wp:posOffset>
            </wp:positionV>
            <wp:extent cx="7000875" cy="2003425"/>
            <wp:effectExtent l="0" t="0" r="9525" b="0"/>
            <wp:wrapTight wrapText="bothSides">
              <wp:wrapPolygon edited="0">
                <wp:start x="0" y="0"/>
                <wp:lineTo x="0" y="21360"/>
                <wp:lineTo x="21571" y="21360"/>
                <wp:lineTo x="21571"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00875" cy="200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475A">
        <w:rPr>
          <w:rFonts w:ascii="Arial" w:hAnsi="Arial" w:cs="Arial"/>
          <w:b/>
          <w:color w:val="auto"/>
          <w:sz w:val="24"/>
          <w:szCs w:val="24"/>
        </w:rPr>
        <w:t>Table 3</w:t>
      </w:r>
      <w:r w:rsidRPr="0023475A">
        <w:rPr>
          <w:rFonts w:ascii="Arial" w:hAnsi="Arial" w:cs="Arial"/>
          <w:b/>
          <w:color w:val="auto"/>
          <w:sz w:val="24"/>
          <w:szCs w:val="24"/>
        </w:rPr>
        <w:t xml:space="preserve">: </w:t>
      </w:r>
      <w:r w:rsidR="00E1468F" w:rsidRPr="0023475A">
        <w:rPr>
          <w:rFonts w:ascii="Arial" w:hAnsi="Arial" w:cs="Arial"/>
          <w:b/>
          <w:color w:val="auto"/>
          <w:sz w:val="24"/>
          <w:szCs w:val="24"/>
        </w:rPr>
        <w:t>Comparison of quartiles</w:t>
      </w:r>
    </w:p>
    <w:p w14:paraId="3A718A1A" w14:textId="614F206C" w:rsidR="003137C1" w:rsidRPr="0023475A" w:rsidRDefault="003137C1" w:rsidP="0023475A">
      <w:pPr>
        <w:pStyle w:val="Heading2"/>
        <w:spacing w:before="480" w:after="160"/>
        <w:rPr>
          <w:rFonts w:ascii="Arial" w:hAnsi="Arial" w:cs="Arial"/>
          <w:b/>
          <w:color w:val="auto"/>
          <w:sz w:val="24"/>
          <w:szCs w:val="24"/>
        </w:rPr>
      </w:pPr>
      <w:r w:rsidRPr="0023475A">
        <w:rPr>
          <w:rFonts w:ascii="Arial" w:hAnsi="Arial" w:cs="Arial"/>
          <w:b/>
          <w:color w:val="auto"/>
          <w:sz w:val="24"/>
          <w:szCs w:val="24"/>
        </w:rPr>
        <w:t>Analysis of the data</w:t>
      </w:r>
    </w:p>
    <w:p w14:paraId="3B27272B" w14:textId="77777777" w:rsidR="00B92D7A" w:rsidRDefault="003137C1" w:rsidP="0023475A">
      <w:pPr>
        <w:spacing w:after="160"/>
        <w:rPr>
          <w:rFonts w:ascii="Arial" w:hAnsi="Arial" w:cs="Arial"/>
          <w:sz w:val="24"/>
          <w:szCs w:val="24"/>
        </w:rPr>
      </w:pPr>
      <w:r w:rsidRPr="0046664A">
        <w:rPr>
          <w:rFonts w:ascii="Arial" w:hAnsi="Arial" w:cs="Arial"/>
          <w:sz w:val="24"/>
          <w:szCs w:val="24"/>
        </w:rPr>
        <w:t>Figure 1 shows that the Council’s gender split is 6</w:t>
      </w:r>
      <w:r w:rsidR="00FD6677">
        <w:rPr>
          <w:rFonts w:ascii="Arial" w:hAnsi="Arial" w:cs="Arial"/>
          <w:sz w:val="24"/>
          <w:szCs w:val="24"/>
        </w:rPr>
        <w:t>6</w:t>
      </w:r>
      <w:r w:rsidRPr="0046664A">
        <w:rPr>
          <w:rFonts w:ascii="Arial" w:hAnsi="Arial" w:cs="Arial"/>
          <w:sz w:val="24"/>
          <w:szCs w:val="24"/>
        </w:rPr>
        <w:t>% female and 3</w:t>
      </w:r>
      <w:r w:rsidR="00B92D7A">
        <w:rPr>
          <w:rFonts w:ascii="Arial" w:hAnsi="Arial" w:cs="Arial"/>
          <w:sz w:val="24"/>
          <w:szCs w:val="24"/>
        </w:rPr>
        <w:t>4</w:t>
      </w:r>
      <w:r w:rsidRPr="0046664A">
        <w:rPr>
          <w:rFonts w:ascii="Arial" w:hAnsi="Arial" w:cs="Arial"/>
          <w:sz w:val="24"/>
          <w:szCs w:val="24"/>
        </w:rPr>
        <w:t xml:space="preserve">% male overall (similar proportions to those seen across most areas of local government). </w:t>
      </w:r>
    </w:p>
    <w:p w14:paraId="1A68C9DB" w14:textId="68167A6E" w:rsidR="003137C1" w:rsidRPr="0046664A" w:rsidRDefault="003F2DBA" w:rsidP="0023475A">
      <w:pPr>
        <w:spacing w:after="160"/>
        <w:rPr>
          <w:rFonts w:ascii="Arial" w:hAnsi="Arial" w:cs="Arial"/>
          <w:sz w:val="24"/>
          <w:szCs w:val="24"/>
        </w:rPr>
      </w:pPr>
      <w:r w:rsidRPr="0046664A">
        <w:rPr>
          <w:rFonts w:ascii="Arial" w:hAnsi="Arial" w:cs="Arial"/>
          <w:sz w:val="24"/>
          <w:szCs w:val="24"/>
        </w:rPr>
        <w:t xml:space="preserve">Figure 2 shows the breakdown of part-time/fulltime by gender. </w:t>
      </w:r>
      <w:r w:rsidR="003137C1" w:rsidRPr="0046664A">
        <w:rPr>
          <w:rFonts w:ascii="Arial" w:hAnsi="Arial" w:cs="Arial"/>
          <w:sz w:val="24"/>
          <w:szCs w:val="24"/>
        </w:rPr>
        <w:t>However, this gender split is not evenly spread throughout all the grades within the Council - as can be seen from the information at Table 2</w:t>
      </w:r>
      <w:r w:rsidR="00B90BE1" w:rsidRPr="0046664A">
        <w:rPr>
          <w:rFonts w:ascii="Arial" w:hAnsi="Arial" w:cs="Arial"/>
          <w:sz w:val="24"/>
          <w:szCs w:val="24"/>
        </w:rPr>
        <w:t xml:space="preserve"> which </w:t>
      </w:r>
      <w:r w:rsidR="003137C1" w:rsidRPr="0046664A">
        <w:rPr>
          <w:rFonts w:ascii="Arial" w:hAnsi="Arial" w:cs="Arial"/>
          <w:sz w:val="24"/>
          <w:szCs w:val="24"/>
        </w:rPr>
        <w:t xml:space="preserve">shows that the proportion of females is much higher in the lower, lower-middle, upper middle quartiles and this distorts the overall mean and median figures for male and female pay. (Figures </w:t>
      </w:r>
      <w:r w:rsidR="0041388F" w:rsidRPr="0046664A">
        <w:rPr>
          <w:rFonts w:ascii="Arial" w:hAnsi="Arial" w:cs="Arial"/>
          <w:sz w:val="24"/>
          <w:szCs w:val="24"/>
        </w:rPr>
        <w:t>3</w:t>
      </w:r>
      <w:r w:rsidR="003137C1" w:rsidRPr="0046664A">
        <w:rPr>
          <w:rFonts w:ascii="Arial" w:hAnsi="Arial" w:cs="Arial"/>
          <w:sz w:val="24"/>
          <w:szCs w:val="24"/>
        </w:rPr>
        <w:t xml:space="preserve"> and </w:t>
      </w:r>
      <w:r w:rsidR="0041388F" w:rsidRPr="0046664A">
        <w:rPr>
          <w:rFonts w:ascii="Arial" w:hAnsi="Arial" w:cs="Arial"/>
          <w:sz w:val="24"/>
          <w:szCs w:val="24"/>
        </w:rPr>
        <w:t>4</w:t>
      </w:r>
      <w:r w:rsidR="003137C1" w:rsidRPr="0046664A">
        <w:rPr>
          <w:rFonts w:ascii="Arial" w:hAnsi="Arial" w:cs="Arial"/>
          <w:sz w:val="24"/>
          <w:szCs w:val="24"/>
        </w:rPr>
        <w:t>).</w:t>
      </w:r>
    </w:p>
    <w:p w14:paraId="4D845B7B" w14:textId="77777777" w:rsidR="003137C1" w:rsidRPr="0046664A" w:rsidRDefault="003137C1" w:rsidP="0023475A">
      <w:pPr>
        <w:spacing w:after="160"/>
        <w:rPr>
          <w:rFonts w:ascii="Arial" w:hAnsi="Arial" w:cs="Arial"/>
          <w:sz w:val="24"/>
          <w:szCs w:val="24"/>
        </w:rPr>
      </w:pPr>
      <w:r w:rsidRPr="0046664A">
        <w:rPr>
          <w:rFonts w:ascii="Arial" w:hAnsi="Arial" w:cs="Arial"/>
          <w:sz w:val="24"/>
          <w:szCs w:val="24"/>
        </w:rPr>
        <w:t>The Council does not have provision for the payment of bonuses within its terms and conditions. (Table 1)</w:t>
      </w:r>
    </w:p>
    <w:p w14:paraId="16144127" w14:textId="77777777" w:rsidR="003137C1" w:rsidRPr="0046664A" w:rsidRDefault="003137C1" w:rsidP="0023475A">
      <w:pPr>
        <w:spacing w:after="160"/>
        <w:rPr>
          <w:rFonts w:ascii="Arial" w:hAnsi="Arial" w:cs="Arial"/>
          <w:sz w:val="24"/>
          <w:szCs w:val="24"/>
        </w:rPr>
      </w:pPr>
      <w:r w:rsidRPr="0046664A">
        <w:rPr>
          <w:rFonts w:ascii="Arial" w:hAnsi="Arial" w:cs="Arial"/>
          <w:sz w:val="24"/>
          <w:szCs w:val="24"/>
        </w:rPr>
        <w:t>During the year to March 2022 the profile of new recruits was slightly imbalanced with 45% female recruits and 55% male recruits. In contrast there were 65% female leavers and 35% male leavers.</w:t>
      </w:r>
    </w:p>
    <w:p w14:paraId="0D8B6243" w14:textId="23CD20B3" w:rsidR="00ED39B4" w:rsidRPr="0046664A" w:rsidRDefault="003137C1" w:rsidP="0023475A">
      <w:pPr>
        <w:spacing w:after="160"/>
        <w:rPr>
          <w:rFonts w:ascii="Arial" w:hAnsi="Arial" w:cs="Arial"/>
          <w:sz w:val="24"/>
          <w:szCs w:val="24"/>
        </w:rPr>
      </w:pPr>
      <w:r w:rsidRPr="0046664A">
        <w:rPr>
          <w:rFonts w:ascii="Arial" w:hAnsi="Arial" w:cs="Arial"/>
          <w:sz w:val="24"/>
          <w:szCs w:val="24"/>
        </w:rPr>
        <w:t xml:space="preserve">In comparison to last year’s published figures there has been a </w:t>
      </w:r>
      <w:r w:rsidR="00146980" w:rsidRPr="0046664A">
        <w:rPr>
          <w:rFonts w:ascii="Arial" w:hAnsi="Arial" w:cs="Arial"/>
          <w:sz w:val="24"/>
          <w:szCs w:val="24"/>
        </w:rPr>
        <w:t>positive</w:t>
      </w:r>
      <w:r w:rsidRPr="0046664A">
        <w:rPr>
          <w:rFonts w:ascii="Arial" w:hAnsi="Arial" w:cs="Arial"/>
          <w:sz w:val="24"/>
          <w:szCs w:val="24"/>
        </w:rPr>
        <w:t xml:space="preserve"> change to the gender pay gap which can be seen in the mean hourly rate of pay</w:t>
      </w:r>
      <w:r w:rsidR="00B92D7A">
        <w:rPr>
          <w:rFonts w:ascii="Arial" w:hAnsi="Arial" w:cs="Arial"/>
          <w:sz w:val="24"/>
          <w:szCs w:val="24"/>
        </w:rPr>
        <w:t xml:space="preserve">, however the </w:t>
      </w:r>
      <w:r w:rsidRPr="0046664A">
        <w:rPr>
          <w:rFonts w:ascii="Arial" w:hAnsi="Arial" w:cs="Arial"/>
          <w:sz w:val="24"/>
          <w:szCs w:val="24"/>
        </w:rPr>
        <w:t xml:space="preserve">median hourly rate of pay figures showing that the gender pay gap has </w:t>
      </w:r>
      <w:r w:rsidR="00B92D7A">
        <w:rPr>
          <w:rFonts w:ascii="Arial" w:hAnsi="Arial" w:cs="Arial"/>
          <w:sz w:val="24"/>
          <w:szCs w:val="24"/>
        </w:rPr>
        <w:t>increased.</w:t>
      </w:r>
      <w:r w:rsidRPr="0046664A">
        <w:rPr>
          <w:rFonts w:ascii="Arial" w:hAnsi="Arial" w:cs="Arial"/>
          <w:sz w:val="24"/>
          <w:szCs w:val="24"/>
        </w:rPr>
        <w:t xml:space="preserve"> </w:t>
      </w:r>
    </w:p>
    <w:p w14:paraId="0358C3C2" w14:textId="08B22B07" w:rsidR="003137C1" w:rsidRPr="0023475A" w:rsidRDefault="00C32643" w:rsidP="0023475A">
      <w:pPr>
        <w:pStyle w:val="Heading1"/>
        <w:shd w:val="clear" w:color="auto" w:fill="DEEAF6" w:themeFill="accent1" w:themeFillTint="33"/>
        <w:spacing w:before="360" w:after="240"/>
        <w:rPr>
          <w:rFonts w:ascii="Arial" w:hAnsi="Arial" w:cs="Arial"/>
          <w:b/>
          <w:color w:val="auto"/>
          <w:sz w:val="26"/>
          <w:szCs w:val="26"/>
        </w:rPr>
      </w:pPr>
      <w:r>
        <w:rPr>
          <w:rFonts w:ascii="Arial" w:hAnsi="Arial" w:cs="Arial"/>
          <w:b/>
          <w:color w:val="auto"/>
          <w:sz w:val="26"/>
          <w:szCs w:val="26"/>
        </w:rPr>
        <w:t>The u</w:t>
      </w:r>
      <w:r w:rsidR="003137C1" w:rsidRPr="0023475A">
        <w:rPr>
          <w:rFonts w:ascii="Arial" w:hAnsi="Arial" w:cs="Arial"/>
          <w:b/>
          <w:color w:val="auto"/>
          <w:sz w:val="26"/>
          <w:szCs w:val="26"/>
        </w:rPr>
        <w:t xml:space="preserve">nderlying </w:t>
      </w:r>
      <w:r>
        <w:rPr>
          <w:rFonts w:ascii="Arial" w:hAnsi="Arial" w:cs="Arial"/>
          <w:b/>
          <w:color w:val="auto"/>
          <w:sz w:val="26"/>
          <w:szCs w:val="26"/>
        </w:rPr>
        <w:t>causes of a g</w:t>
      </w:r>
      <w:r w:rsidR="003137C1" w:rsidRPr="0023475A">
        <w:rPr>
          <w:rFonts w:ascii="Arial" w:hAnsi="Arial" w:cs="Arial"/>
          <w:b/>
          <w:color w:val="auto"/>
          <w:sz w:val="26"/>
          <w:szCs w:val="26"/>
        </w:rPr>
        <w:t xml:space="preserve">ender </w:t>
      </w:r>
      <w:r>
        <w:rPr>
          <w:rFonts w:ascii="Arial" w:hAnsi="Arial" w:cs="Arial"/>
          <w:b/>
          <w:color w:val="auto"/>
          <w:sz w:val="26"/>
          <w:szCs w:val="26"/>
        </w:rPr>
        <w:t>p</w:t>
      </w:r>
      <w:r w:rsidR="003137C1" w:rsidRPr="0023475A">
        <w:rPr>
          <w:rFonts w:ascii="Arial" w:hAnsi="Arial" w:cs="Arial"/>
          <w:b/>
          <w:color w:val="auto"/>
          <w:sz w:val="26"/>
          <w:szCs w:val="26"/>
        </w:rPr>
        <w:t xml:space="preserve">ay </w:t>
      </w:r>
      <w:r>
        <w:rPr>
          <w:rFonts w:ascii="Arial" w:hAnsi="Arial" w:cs="Arial"/>
          <w:b/>
          <w:color w:val="auto"/>
          <w:sz w:val="26"/>
          <w:szCs w:val="26"/>
        </w:rPr>
        <w:t>g</w:t>
      </w:r>
      <w:bookmarkStart w:id="1" w:name="_GoBack"/>
      <w:bookmarkEnd w:id="1"/>
      <w:r w:rsidR="003137C1" w:rsidRPr="0023475A">
        <w:rPr>
          <w:rFonts w:ascii="Arial" w:hAnsi="Arial" w:cs="Arial"/>
          <w:b/>
          <w:color w:val="auto"/>
          <w:sz w:val="26"/>
          <w:szCs w:val="26"/>
        </w:rPr>
        <w:t>ap</w:t>
      </w:r>
    </w:p>
    <w:p w14:paraId="3A66917E" w14:textId="77777777" w:rsidR="003137C1" w:rsidRPr="0046664A" w:rsidRDefault="003137C1" w:rsidP="0023475A">
      <w:pPr>
        <w:spacing w:after="160"/>
        <w:rPr>
          <w:rFonts w:ascii="Arial" w:hAnsi="Arial" w:cs="Arial"/>
          <w:sz w:val="24"/>
          <w:szCs w:val="24"/>
        </w:rPr>
      </w:pPr>
      <w:r w:rsidRPr="0046664A">
        <w:rPr>
          <w:rFonts w:ascii="Arial" w:hAnsi="Arial" w:cs="Arial"/>
          <w:sz w:val="24"/>
          <w:szCs w:val="24"/>
        </w:rPr>
        <w:t xml:space="preserve">There is no legal requirement for employers to publish a narrative explaining their gender pay gap figures, however it is useful to include some information to reflect on possible causes for this. </w:t>
      </w:r>
    </w:p>
    <w:p w14:paraId="694934D5" w14:textId="77777777" w:rsidR="003137C1" w:rsidRPr="0046664A" w:rsidRDefault="003137C1" w:rsidP="0023475A">
      <w:pPr>
        <w:pStyle w:val="ListParagraph"/>
        <w:numPr>
          <w:ilvl w:val="0"/>
          <w:numId w:val="18"/>
        </w:numPr>
        <w:spacing w:after="120"/>
        <w:ind w:left="714" w:hanging="357"/>
        <w:contextualSpacing w:val="0"/>
        <w:rPr>
          <w:rFonts w:ascii="Arial" w:hAnsi="Arial" w:cs="Arial"/>
          <w:sz w:val="24"/>
          <w:szCs w:val="24"/>
        </w:rPr>
      </w:pPr>
      <w:r w:rsidRPr="0046664A">
        <w:rPr>
          <w:rFonts w:ascii="Arial" w:hAnsi="Arial" w:cs="Arial"/>
          <w:sz w:val="24"/>
          <w:szCs w:val="24"/>
        </w:rPr>
        <w:t xml:space="preserve">Women are more likely than men to have had breaks from work that have affected their careers </w:t>
      </w:r>
    </w:p>
    <w:p w14:paraId="0F79C611" w14:textId="340AD082" w:rsidR="003137C1" w:rsidRPr="0046664A" w:rsidRDefault="003137C1" w:rsidP="0023475A">
      <w:pPr>
        <w:pStyle w:val="ListParagraph"/>
        <w:numPr>
          <w:ilvl w:val="0"/>
          <w:numId w:val="18"/>
        </w:numPr>
        <w:spacing w:after="120"/>
        <w:ind w:left="714" w:hanging="357"/>
        <w:contextualSpacing w:val="0"/>
        <w:rPr>
          <w:rFonts w:ascii="Arial" w:hAnsi="Arial" w:cs="Arial"/>
          <w:sz w:val="24"/>
          <w:szCs w:val="24"/>
        </w:rPr>
      </w:pPr>
      <w:r w:rsidRPr="0046664A">
        <w:rPr>
          <w:rFonts w:ascii="Arial" w:hAnsi="Arial" w:cs="Arial"/>
          <w:sz w:val="24"/>
          <w:szCs w:val="24"/>
        </w:rPr>
        <w:t>Women are more likely to work part time and many of the jobs available across the UK on a part</w:t>
      </w:r>
      <w:r w:rsidR="008D3DA9" w:rsidRPr="0046664A">
        <w:rPr>
          <w:rFonts w:ascii="Arial" w:hAnsi="Arial" w:cs="Arial"/>
          <w:sz w:val="24"/>
          <w:szCs w:val="24"/>
        </w:rPr>
        <w:t>-</w:t>
      </w:r>
      <w:r w:rsidRPr="0046664A">
        <w:rPr>
          <w:rFonts w:ascii="Arial" w:hAnsi="Arial" w:cs="Arial"/>
          <w:sz w:val="24"/>
          <w:szCs w:val="24"/>
        </w:rPr>
        <w:t>time basis are relatively low paid.</w:t>
      </w:r>
    </w:p>
    <w:p w14:paraId="6F1AB649" w14:textId="20DA6898" w:rsidR="003137C1" w:rsidRPr="0046664A" w:rsidRDefault="003137C1" w:rsidP="0023475A">
      <w:pPr>
        <w:pStyle w:val="ListParagraph"/>
        <w:numPr>
          <w:ilvl w:val="0"/>
          <w:numId w:val="18"/>
        </w:numPr>
        <w:spacing w:after="160"/>
        <w:contextualSpacing w:val="0"/>
        <w:rPr>
          <w:rFonts w:ascii="Arial" w:hAnsi="Arial" w:cs="Arial"/>
          <w:sz w:val="24"/>
          <w:szCs w:val="24"/>
        </w:rPr>
      </w:pPr>
      <w:r w:rsidRPr="0046664A">
        <w:rPr>
          <w:rFonts w:ascii="Arial" w:hAnsi="Arial" w:cs="Arial"/>
          <w:sz w:val="24"/>
          <w:szCs w:val="24"/>
        </w:rPr>
        <w:t>In the wider society it is still often women that undertake caring responsibilities which might make part-time working more attractive even though flexible working practices are also applicable for many higher paid posts in the Council</w:t>
      </w:r>
    </w:p>
    <w:p w14:paraId="603F4C79" w14:textId="78EA4E50" w:rsidR="00D4122B" w:rsidRPr="00C32643" w:rsidRDefault="00D4122B" w:rsidP="00C32643">
      <w:pPr>
        <w:pStyle w:val="Heading1"/>
        <w:shd w:val="clear" w:color="auto" w:fill="DEEAF6" w:themeFill="accent1" w:themeFillTint="33"/>
        <w:spacing w:before="360" w:after="240"/>
        <w:rPr>
          <w:rFonts w:ascii="Arial" w:hAnsi="Arial" w:cs="Arial"/>
          <w:b/>
          <w:color w:val="auto"/>
          <w:sz w:val="26"/>
          <w:szCs w:val="26"/>
        </w:rPr>
      </w:pPr>
      <w:bookmarkStart w:id="2" w:name="_Hlk105754502"/>
      <w:r w:rsidRPr="00C32643">
        <w:rPr>
          <w:rFonts w:ascii="Arial" w:hAnsi="Arial" w:cs="Arial"/>
          <w:b/>
          <w:color w:val="auto"/>
          <w:sz w:val="26"/>
          <w:szCs w:val="26"/>
        </w:rPr>
        <w:t>What is Allerdale Borough Council doing to address its gender pay gap?</w:t>
      </w:r>
    </w:p>
    <w:bookmarkEnd w:id="2"/>
    <w:p w14:paraId="4E96A229" w14:textId="0C19A7E3" w:rsidR="00AA2DE6" w:rsidRPr="0046664A" w:rsidRDefault="00AA2DE6" w:rsidP="0023475A">
      <w:pPr>
        <w:spacing w:after="160"/>
        <w:rPr>
          <w:rFonts w:ascii="Arial" w:hAnsi="Arial" w:cs="Arial"/>
          <w:sz w:val="24"/>
          <w:szCs w:val="24"/>
        </w:rPr>
      </w:pPr>
      <w:r w:rsidRPr="0046664A">
        <w:rPr>
          <w:rFonts w:ascii="Arial" w:hAnsi="Arial" w:cs="Arial"/>
          <w:sz w:val="24"/>
          <w:szCs w:val="24"/>
        </w:rPr>
        <w:t xml:space="preserve">Allerdale Borough Council is committed to the principle of equal opportunities and equal treatment of all employees. We have a clear policy of paying employees equally for the same or equivalent work, regardless of their sex (or any other protected characteristic). As such we have a pay and grading structure agreed with Unison; have a published pay policy statement; evaluate all jobs using the </w:t>
      </w:r>
      <w:r w:rsidR="00A062C9" w:rsidRPr="0046664A">
        <w:rPr>
          <w:rFonts w:ascii="Arial" w:hAnsi="Arial" w:cs="Arial"/>
          <w:sz w:val="24"/>
          <w:szCs w:val="24"/>
        </w:rPr>
        <w:t>Northwest</w:t>
      </w:r>
      <w:r w:rsidRPr="0046664A">
        <w:rPr>
          <w:rFonts w:ascii="Arial" w:hAnsi="Arial" w:cs="Arial"/>
          <w:sz w:val="24"/>
          <w:szCs w:val="24"/>
        </w:rPr>
        <w:t xml:space="preserve"> Employers Organisation (NWEO) Job Evaluation (JE) scheme for Chief Officers and the National Joint Council (NJC) job evaluation scheme for all other employees to ensure a fair and consistent pay structure. </w:t>
      </w:r>
    </w:p>
    <w:p w14:paraId="4A3ADA92" w14:textId="77777777" w:rsidR="00D4122B" w:rsidRPr="0046664A" w:rsidRDefault="00D4122B" w:rsidP="0023475A">
      <w:pPr>
        <w:spacing w:after="160"/>
        <w:rPr>
          <w:rFonts w:ascii="Arial" w:hAnsi="Arial" w:cs="Arial"/>
          <w:sz w:val="24"/>
          <w:szCs w:val="24"/>
        </w:rPr>
      </w:pPr>
      <w:r w:rsidRPr="0046664A">
        <w:rPr>
          <w:rFonts w:ascii="Arial" w:hAnsi="Arial" w:cs="Arial"/>
          <w:sz w:val="24"/>
          <w:szCs w:val="24"/>
        </w:rPr>
        <w:t xml:space="preserve">Allerdale Borough Council is therefore confident that its gender pay gap does not stem from paying men and women differently for the same or equivalent work. Rather its gender pay gap is the result of the roles in which men and women work within the organisation and the salaries that these roles attract. </w:t>
      </w:r>
    </w:p>
    <w:p w14:paraId="203C9BED" w14:textId="5F91EBA9" w:rsidR="0023475A" w:rsidRDefault="000F41D9" w:rsidP="0023475A">
      <w:pPr>
        <w:spacing w:after="160"/>
        <w:rPr>
          <w:rFonts w:ascii="Arial" w:hAnsi="Arial" w:cs="Arial"/>
          <w:sz w:val="24"/>
          <w:szCs w:val="24"/>
        </w:rPr>
      </w:pPr>
      <w:r w:rsidRPr="0046664A">
        <w:rPr>
          <w:rFonts w:ascii="Arial" w:hAnsi="Arial" w:cs="Arial"/>
          <w:sz w:val="24"/>
          <w:szCs w:val="24"/>
        </w:rPr>
        <w:t>T</w:t>
      </w:r>
      <w:r w:rsidR="00D4122B" w:rsidRPr="0046664A">
        <w:rPr>
          <w:rFonts w:ascii="Arial" w:hAnsi="Arial" w:cs="Arial"/>
          <w:sz w:val="24"/>
          <w:szCs w:val="24"/>
        </w:rPr>
        <w:t xml:space="preserve">he Council is </w:t>
      </w:r>
      <w:r w:rsidRPr="0046664A">
        <w:rPr>
          <w:rFonts w:ascii="Arial" w:hAnsi="Arial" w:cs="Arial"/>
          <w:sz w:val="24"/>
          <w:szCs w:val="24"/>
        </w:rPr>
        <w:t xml:space="preserve">not </w:t>
      </w:r>
      <w:r w:rsidR="00D4122B" w:rsidRPr="0046664A">
        <w:rPr>
          <w:rFonts w:ascii="Arial" w:hAnsi="Arial" w:cs="Arial"/>
          <w:sz w:val="24"/>
          <w:szCs w:val="24"/>
        </w:rPr>
        <w:t>complacent</w:t>
      </w:r>
      <w:r w:rsidRPr="0046664A">
        <w:rPr>
          <w:rFonts w:ascii="Arial" w:hAnsi="Arial" w:cs="Arial"/>
          <w:sz w:val="24"/>
          <w:szCs w:val="24"/>
        </w:rPr>
        <w:t xml:space="preserve"> in looking at ways to reduce the gap</w:t>
      </w:r>
      <w:r w:rsidR="00D4122B" w:rsidRPr="0046664A">
        <w:rPr>
          <w:rFonts w:ascii="Arial" w:hAnsi="Arial" w:cs="Arial"/>
          <w:sz w:val="24"/>
          <w:szCs w:val="24"/>
        </w:rPr>
        <w:t xml:space="preserve">, and it is committed to further reducing the gap. </w:t>
      </w:r>
    </w:p>
    <w:p w14:paraId="7C0A91C6" w14:textId="77777777" w:rsidR="0023475A" w:rsidRDefault="0023475A">
      <w:pPr>
        <w:rPr>
          <w:rFonts w:ascii="Arial" w:hAnsi="Arial" w:cs="Arial"/>
          <w:sz w:val="24"/>
          <w:szCs w:val="24"/>
        </w:rPr>
      </w:pPr>
      <w:r>
        <w:rPr>
          <w:rFonts w:ascii="Arial" w:hAnsi="Arial" w:cs="Arial"/>
          <w:sz w:val="24"/>
          <w:szCs w:val="24"/>
        </w:rPr>
        <w:br w:type="page"/>
      </w:r>
    </w:p>
    <w:p w14:paraId="7BE9F8D9" w14:textId="18E62A18" w:rsidR="004313B4" w:rsidRPr="00C32643" w:rsidRDefault="004313B4" w:rsidP="00C32643">
      <w:pPr>
        <w:pStyle w:val="Heading1"/>
        <w:spacing w:after="360"/>
        <w:jc w:val="right"/>
        <w:rPr>
          <w:rFonts w:ascii="Arial" w:hAnsi="Arial" w:cs="Arial"/>
          <w:b/>
          <w:color w:val="auto"/>
        </w:rPr>
      </w:pPr>
      <w:r w:rsidRPr="00C32643">
        <w:rPr>
          <w:rFonts w:ascii="Arial" w:hAnsi="Arial" w:cs="Arial"/>
          <w:b/>
          <w:color w:val="auto"/>
        </w:rPr>
        <w:t>Appendix 1</w:t>
      </w:r>
    </w:p>
    <w:tbl>
      <w:tblPr>
        <w:tblStyle w:val="TableGrid"/>
        <w:tblW w:w="0" w:type="auto"/>
        <w:jc w:val="center"/>
        <w:tblLook w:val="04A0" w:firstRow="1" w:lastRow="0" w:firstColumn="1" w:lastColumn="0" w:noHBand="0" w:noVBand="1"/>
      </w:tblPr>
      <w:tblGrid>
        <w:gridCol w:w="562"/>
        <w:gridCol w:w="6379"/>
        <w:gridCol w:w="2075"/>
      </w:tblGrid>
      <w:tr w:rsidR="00D51122" w14:paraId="51CF3106" w14:textId="77777777" w:rsidTr="00921903">
        <w:trPr>
          <w:jc w:val="center"/>
        </w:trPr>
        <w:tc>
          <w:tcPr>
            <w:tcW w:w="9016" w:type="dxa"/>
            <w:gridSpan w:val="3"/>
            <w:shd w:val="clear" w:color="auto" w:fill="4472C4" w:themeFill="accent5"/>
          </w:tcPr>
          <w:p w14:paraId="0D08C794" w14:textId="77777777" w:rsidR="00D51122" w:rsidRDefault="00D51122" w:rsidP="00921903">
            <w:pPr>
              <w:rPr>
                <w:rFonts w:ascii="Arial" w:hAnsi="Arial" w:cs="Arial"/>
                <w:color w:val="FFFFFF" w:themeColor="background1"/>
                <w:sz w:val="64"/>
                <w:szCs w:val="64"/>
              </w:rPr>
            </w:pPr>
            <w:r>
              <w:rPr>
                <w:rFonts w:ascii="Arial" w:hAnsi="Arial" w:cs="Arial"/>
                <w:color w:val="FFFFFF" w:themeColor="background1"/>
                <w:sz w:val="64"/>
                <w:szCs w:val="64"/>
              </w:rPr>
              <w:t>Closing the Gender Pay Gap Action Plan</w:t>
            </w:r>
          </w:p>
          <w:p w14:paraId="24DD1DDB" w14:textId="77777777" w:rsidR="00D51122" w:rsidRPr="007B14AE" w:rsidRDefault="00D51122" w:rsidP="00921903">
            <w:pPr>
              <w:rPr>
                <w:rFonts w:ascii="Arial" w:hAnsi="Arial" w:cs="Arial"/>
                <w:color w:val="FFFFFF" w:themeColor="background1"/>
                <w:sz w:val="64"/>
                <w:szCs w:val="64"/>
              </w:rPr>
            </w:pPr>
            <w:r w:rsidRPr="00591D74">
              <w:rPr>
                <w:rFonts w:ascii="Arial" w:hAnsi="Arial" w:cs="Arial"/>
                <w:color w:val="FFFFFF" w:themeColor="background1"/>
                <w:sz w:val="36"/>
                <w:szCs w:val="36"/>
              </w:rPr>
              <w:t>June 2022</w:t>
            </w:r>
          </w:p>
        </w:tc>
      </w:tr>
      <w:tr w:rsidR="00D51122" w:rsidRPr="00F20DA6" w14:paraId="33D0D878" w14:textId="77777777" w:rsidTr="00921903">
        <w:trPr>
          <w:jc w:val="center"/>
        </w:trPr>
        <w:tc>
          <w:tcPr>
            <w:tcW w:w="6941" w:type="dxa"/>
            <w:gridSpan w:val="2"/>
            <w:shd w:val="clear" w:color="auto" w:fill="4472C4" w:themeFill="accent5"/>
          </w:tcPr>
          <w:p w14:paraId="1498A48D" w14:textId="77777777" w:rsidR="00D51122" w:rsidRPr="00F20DA6" w:rsidRDefault="00D51122" w:rsidP="00921903">
            <w:pPr>
              <w:rPr>
                <w:rFonts w:ascii="Arial" w:hAnsi="Arial" w:cs="Arial"/>
                <w:b/>
                <w:color w:val="FFFFFF" w:themeColor="background1"/>
                <w:sz w:val="24"/>
                <w:szCs w:val="24"/>
              </w:rPr>
            </w:pPr>
            <w:r w:rsidRPr="00F20DA6">
              <w:rPr>
                <w:rFonts w:ascii="Arial" w:hAnsi="Arial" w:cs="Arial"/>
                <w:b/>
                <w:color w:val="FFFFFF" w:themeColor="background1"/>
                <w:sz w:val="24"/>
                <w:szCs w:val="24"/>
              </w:rPr>
              <w:t>Action</w:t>
            </w:r>
          </w:p>
        </w:tc>
        <w:tc>
          <w:tcPr>
            <w:tcW w:w="2075" w:type="dxa"/>
            <w:shd w:val="clear" w:color="auto" w:fill="4472C4" w:themeFill="accent5"/>
          </w:tcPr>
          <w:p w14:paraId="3EED61E1" w14:textId="77777777" w:rsidR="00D51122" w:rsidRPr="00F20DA6" w:rsidRDefault="00D51122" w:rsidP="00921903">
            <w:pPr>
              <w:rPr>
                <w:rFonts w:ascii="Arial" w:hAnsi="Arial" w:cs="Arial"/>
                <w:b/>
                <w:color w:val="FFFFFF" w:themeColor="background1"/>
                <w:sz w:val="24"/>
                <w:szCs w:val="24"/>
              </w:rPr>
            </w:pPr>
            <w:r w:rsidRPr="00F20DA6">
              <w:rPr>
                <w:rFonts w:ascii="Arial" w:hAnsi="Arial" w:cs="Arial"/>
                <w:b/>
                <w:color w:val="FFFFFF" w:themeColor="background1"/>
                <w:sz w:val="24"/>
                <w:szCs w:val="24"/>
              </w:rPr>
              <w:t>Timeframe</w:t>
            </w:r>
          </w:p>
        </w:tc>
      </w:tr>
      <w:tr w:rsidR="00D51122" w:rsidRPr="00F20DA6" w14:paraId="0E049CA6" w14:textId="77777777" w:rsidTr="00921903">
        <w:trPr>
          <w:jc w:val="center"/>
        </w:trPr>
        <w:tc>
          <w:tcPr>
            <w:tcW w:w="9016" w:type="dxa"/>
            <w:gridSpan w:val="3"/>
            <w:shd w:val="clear" w:color="auto" w:fill="4472C4" w:themeFill="accent5"/>
          </w:tcPr>
          <w:p w14:paraId="6E0D445D" w14:textId="77777777" w:rsidR="00D51122" w:rsidRPr="00F20DA6" w:rsidRDefault="00D51122" w:rsidP="00921903">
            <w:pPr>
              <w:rPr>
                <w:rFonts w:ascii="Arial" w:hAnsi="Arial" w:cs="Arial"/>
                <w:b/>
                <w:color w:val="FFFFFF" w:themeColor="background1"/>
                <w:sz w:val="24"/>
                <w:szCs w:val="24"/>
              </w:rPr>
            </w:pPr>
            <w:r w:rsidRPr="00F20DA6">
              <w:rPr>
                <w:rFonts w:ascii="Arial" w:hAnsi="Arial" w:cs="Arial"/>
                <w:b/>
                <w:color w:val="FFFFFF" w:themeColor="background1"/>
                <w:sz w:val="24"/>
                <w:szCs w:val="24"/>
              </w:rPr>
              <w:t>Data Transparency</w:t>
            </w:r>
          </w:p>
        </w:tc>
      </w:tr>
      <w:tr w:rsidR="00D51122" w:rsidRPr="00542261" w14:paraId="1FF2D94B" w14:textId="77777777" w:rsidTr="00921903">
        <w:trPr>
          <w:jc w:val="center"/>
        </w:trPr>
        <w:tc>
          <w:tcPr>
            <w:tcW w:w="562" w:type="dxa"/>
          </w:tcPr>
          <w:p w14:paraId="61FA3F54" w14:textId="77777777" w:rsidR="00D51122" w:rsidRPr="00542261" w:rsidRDefault="00D51122" w:rsidP="00921903">
            <w:pPr>
              <w:rPr>
                <w:rFonts w:ascii="Arial" w:hAnsi="Arial" w:cs="Arial"/>
                <w:sz w:val="24"/>
                <w:szCs w:val="24"/>
              </w:rPr>
            </w:pPr>
            <w:r w:rsidRPr="00542261">
              <w:rPr>
                <w:rFonts w:ascii="Arial" w:hAnsi="Arial" w:cs="Arial"/>
                <w:sz w:val="24"/>
                <w:szCs w:val="24"/>
              </w:rPr>
              <w:t>1</w:t>
            </w:r>
          </w:p>
        </w:tc>
        <w:tc>
          <w:tcPr>
            <w:tcW w:w="6379" w:type="dxa"/>
          </w:tcPr>
          <w:p w14:paraId="585C6E1A" w14:textId="68BBB208" w:rsidR="00D51122" w:rsidRPr="00542261" w:rsidRDefault="00D51122" w:rsidP="00921903">
            <w:pPr>
              <w:rPr>
                <w:rFonts w:ascii="Arial" w:hAnsi="Arial" w:cs="Arial"/>
                <w:sz w:val="24"/>
                <w:szCs w:val="24"/>
              </w:rPr>
            </w:pPr>
            <w:r w:rsidRPr="00542261">
              <w:rPr>
                <w:rFonts w:ascii="Arial" w:hAnsi="Arial" w:cs="Arial"/>
                <w:sz w:val="24"/>
                <w:szCs w:val="24"/>
              </w:rPr>
              <w:t xml:space="preserve">Continue to analyse and publish transparent, </w:t>
            </w:r>
            <w:r w:rsidR="00957D48" w:rsidRPr="00542261">
              <w:rPr>
                <w:rFonts w:ascii="Arial" w:hAnsi="Arial" w:cs="Arial"/>
                <w:sz w:val="24"/>
                <w:szCs w:val="24"/>
              </w:rPr>
              <w:t>clear,</w:t>
            </w:r>
            <w:r w:rsidRPr="00542261">
              <w:rPr>
                <w:rFonts w:ascii="Arial" w:hAnsi="Arial" w:cs="Arial"/>
                <w:sz w:val="24"/>
                <w:szCs w:val="24"/>
              </w:rPr>
              <w:t xml:space="preserve"> and detailed workforce information including information on the gender pay gap.</w:t>
            </w:r>
          </w:p>
        </w:tc>
        <w:tc>
          <w:tcPr>
            <w:tcW w:w="2075" w:type="dxa"/>
          </w:tcPr>
          <w:p w14:paraId="6CF8CD8F" w14:textId="77777777" w:rsidR="00D51122" w:rsidRPr="00542261" w:rsidRDefault="00D51122" w:rsidP="00921903">
            <w:pPr>
              <w:rPr>
                <w:rFonts w:ascii="Arial" w:hAnsi="Arial" w:cs="Arial"/>
                <w:sz w:val="24"/>
                <w:szCs w:val="24"/>
              </w:rPr>
            </w:pPr>
            <w:r>
              <w:rPr>
                <w:rFonts w:ascii="Arial" w:hAnsi="Arial" w:cs="Arial"/>
                <w:sz w:val="24"/>
                <w:szCs w:val="24"/>
              </w:rPr>
              <w:t>Every 12 months</w:t>
            </w:r>
          </w:p>
        </w:tc>
      </w:tr>
      <w:tr w:rsidR="00D51122" w:rsidRPr="00542261" w14:paraId="4D60B3AE" w14:textId="77777777" w:rsidTr="00921903">
        <w:trPr>
          <w:jc w:val="center"/>
        </w:trPr>
        <w:tc>
          <w:tcPr>
            <w:tcW w:w="562" w:type="dxa"/>
          </w:tcPr>
          <w:p w14:paraId="4286CCEA" w14:textId="77777777" w:rsidR="00D51122" w:rsidRPr="00542261" w:rsidRDefault="00D51122" w:rsidP="00921903">
            <w:pPr>
              <w:rPr>
                <w:rFonts w:ascii="Arial" w:hAnsi="Arial" w:cs="Arial"/>
                <w:sz w:val="24"/>
                <w:szCs w:val="24"/>
              </w:rPr>
            </w:pPr>
            <w:r w:rsidRPr="00542261">
              <w:rPr>
                <w:rFonts w:ascii="Arial" w:hAnsi="Arial" w:cs="Arial"/>
                <w:sz w:val="24"/>
                <w:szCs w:val="24"/>
              </w:rPr>
              <w:t>2</w:t>
            </w:r>
          </w:p>
        </w:tc>
        <w:tc>
          <w:tcPr>
            <w:tcW w:w="6379" w:type="dxa"/>
          </w:tcPr>
          <w:p w14:paraId="48700F77" w14:textId="1B851150" w:rsidR="00D51122" w:rsidRPr="00542261" w:rsidRDefault="00D51122" w:rsidP="00921903">
            <w:pPr>
              <w:rPr>
                <w:rFonts w:ascii="Arial" w:hAnsi="Arial" w:cs="Arial"/>
                <w:sz w:val="24"/>
                <w:szCs w:val="24"/>
              </w:rPr>
            </w:pPr>
            <w:r w:rsidRPr="00542261">
              <w:rPr>
                <w:rFonts w:ascii="Arial" w:hAnsi="Arial" w:cs="Arial"/>
                <w:sz w:val="24"/>
                <w:szCs w:val="24"/>
              </w:rPr>
              <w:t xml:space="preserve">Review and internally publish a staff survey data on female staff experience to identify any issues </w:t>
            </w:r>
            <w:r w:rsidR="00957D48" w:rsidRPr="00542261">
              <w:rPr>
                <w:rFonts w:ascii="Arial" w:hAnsi="Arial" w:cs="Arial"/>
                <w:sz w:val="24"/>
                <w:szCs w:val="24"/>
              </w:rPr>
              <w:t>to</w:t>
            </w:r>
            <w:r w:rsidRPr="00542261">
              <w:rPr>
                <w:rFonts w:ascii="Arial" w:hAnsi="Arial" w:cs="Arial"/>
                <w:sz w:val="24"/>
                <w:szCs w:val="24"/>
              </w:rPr>
              <w:t xml:space="preserve"> address them.</w:t>
            </w:r>
          </w:p>
        </w:tc>
        <w:tc>
          <w:tcPr>
            <w:tcW w:w="2075" w:type="dxa"/>
          </w:tcPr>
          <w:p w14:paraId="0E0E15A3" w14:textId="77777777" w:rsidR="00D51122" w:rsidRPr="00542261" w:rsidRDefault="00D51122" w:rsidP="00921903">
            <w:pPr>
              <w:rPr>
                <w:rFonts w:ascii="Arial" w:hAnsi="Arial" w:cs="Arial"/>
                <w:sz w:val="24"/>
                <w:szCs w:val="24"/>
              </w:rPr>
            </w:pPr>
            <w:r>
              <w:rPr>
                <w:rFonts w:ascii="Arial" w:hAnsi="Arial" w:cs="Arial"/>
                <w:sz w:val="24"/>
                <w:szCs w:val="24"/>
              </w:rPr>
              <w:t>Every 12 months</w:t>
            </w:r>
          </w:p>
        </w:tc>
      </w:tr>
      <w:tr w:rsidR="00D51122" w:rsidRPr="00F20DA6" w14:paraId="706BF44A" w14:textId="77777777" w:rsidTr="00921903">
        <w:trPr>
          <w:jc w:val="center"/>
        </w:trPr>
        <w:tc>
          <w:tcPr>
            <w:tcW w:w="9016" w:type="dxa"/>
            <w:gridSpan w:val="3"/>
            <w:shd w:val="clear" w:color="auto" w:fill="4472C4" w:themeFill="accent5"/>
          </w:tcPr>
          <w:p w14:paraId="11D9ED29" w14:textId="77777777" w:rsidR="00D51122" w:rsidRPr="00F20DA6" w:rsidRDefault="00D51122" w:rsidP="00921903">
            <w:pPr>
              <w:rPr>
                <w:rFonts w:ascii="Arial" w:hAnsi="Arial" w:cs="Arial"/>
                <w:b/>
                <w:color w:val="FFFFFF" w:themeColor="background1"/>
                <w:sz w:val="24"/>
                <w:szCs w:val="24"/>
              </w:rPr>
            </w:pPr>
            <w:r w:rsidRPr="00F20DA6">
              <w:rPr>
                <w:rFonts w:ascii="Arial" w:hAnsi="Arial" w:cs="Arial"/>
                <w:b/>
                <w:color w:val="FFFFFF" w:themeColor="background1"/>
                <w:sz w:val="24"/>
                <w:szCs w:val="24"/>
              </w:rPr>
              <w:t>Flexible working and family friendly benefits</w:t>
            </w:r>
          </w:p>
        </w:tc>
      </w:tr>
      <w:tr w:rsidR="00D51122" w:rsidRPr="00542261" w14:paraId="0ABBAF6A" w14:textId="77777777" w:rsidTr="00921903">
        <w:trPr>
          <w:jc w:val="center"/>
        </w:trPr>
        <w:tc>
          <w:tcPr>
            <w:tcW w:w="562" w:type="dxa"/>
          </w:tcPr>
          <w:p w14:paraId="7887B623" w14:textId="77777777" w:rsidR="00D51122" w:rsidRPr="00542261" w:rsidRDefault="00D51122" w:rsidP="00921903">
            <w:pPr>
              <w:rPr>
                <w:rFonts w:ascii="Arial" w:hAnsi="Arial" w:cs="Arial"/>
                <w:sz w:val="24"/>
                <w:szCs w:val="24"/>
              </w:rPr>
            </w:pPr>
            <w:r w:rsidRPr="00542261">
              <w:rPr>
                <w:rFonts w:ascii="Arial" w:hAnsi="Arial" w:cs="Arial"/>
                <w:sz w:val="24"/>
                <w:szCs w:val="24"/>
              </w:rPr>
              <w:t>3</w:t>
            </w:r>
          </w:p>
        </w:tc>
        <w:tc>
          <w:tcPr>
            <w:tcW w:w="6379" w:type="dxa"/>
          </w:tcPr>
          <w:p w14:paraId="09635547" w14:textId="258D2018" w:rsidR="00D51122" w:rsidRPr="00542261" w:rsidRDefault="00D51122" w:rsidP="00921903">
            <w:pPr>
              <w:rPr>
                <w:rFonts w:ascii="Arial" w:hAnsi="Arial" w:cs="Arial"/>
                <w:sz w:val="24"/>
                <w:szCs w:val="24"/>
              </w:rPr>
            </w:pPr>
            <w:r w:rsidRPr="00542261">
              <w:rPr>
                <w:rFonts w:ascii="Arial" w:hAnsi="Arial" w:cs="Arial"/>
                <w:sz w:val="24"/>
                <w:szCs w:val="24"/>
              </w:rPr>
              <w:t xml:space="preserve">Continue offering, </w:t>
            </w:r>
            <w:r w:rsidR="00FD0FD1" w:rsidRPr="00542261">
              <w:rPr>
                <w:rFonts w:ascii="Arial" w:hAnsi="Arial" w:cs="Arial"/>
                <w:sz w:val="24"/>
                <w:szCs w:val="24"/>
              </w:rPr>
              <w:t>promoting,</w:t>
            </w:r>
            <w:r w:rsidRPr="00542261">
              <w:rPr>
                <w:rFonts w:ascii="Arial" w:hAnsi="Arial" w:cs="Arial"/>
                <w:sz w:val="24"/>
                <w:szCs w:val="24"/>
              </w:rPr>
              <w:t xml:space="preserve"> and publicising the full range of flexible working to all ABC staff and to new entrants through all appropriate media to raise awareness of their range and availability. All recruiting managers to continue to consider flexible working at the staff hiring stage.</w:t>
            </w:r>
          </w:p>
        </w:tc>
        <w:tc>
          <w:tcPr>
            <w:tcW w:w="2075" w:type="dxa"/>
          </w:tcPr>
          <w:p w14:paraId="42CB424F" w14:textId="77777777" w:rsidR="00D51122" w:rsidRPr="00542261" w:rsidRDefault="00D51122" w:rsidP="00921903">
            <w:pPr>
              <w:rPr>
                <w:rFonts w:ascii="Arial" w:hAnsi="Arial" w:cs="Arial"/>
                <w:sz w:val="24"/>
                <w:szCs w:val="24"/>
              </w:rPr>
            </w:pPr>
            <w:r w:rsidRPr="00542261">
              <w:rPr>
                <w:rFonts w:ascii="Arial" w:hAnsi="Arial" w:cs="Arial"/>
                <w:sz w:val="24"/>
                <w:szCs w:val="24"/>
              </w:rPr>
              <w:t>In place - ongoing and monitoring</w:t>
            </w:r>
          </w:p>
        </w:tc>
      </w:tr>
      <w:tr w:rsidR="00D51122" w:rsidRPr="00542261" w14:paraId="74192BAE" w14:textId="77777777" w:rsidTr="00921903">
        <w:trPr>
          <w:jc w:val="center"/>
        </w:trPr>
        <w:tc>
          <w:tcPr>
            <w:tcW w:w="562" w:type="dxa"/>
          </w:tcPr>
          <w:p w14:paraId="5D451966" w14:textId="77777777" w:rsidR="00D51122" w:rsidRPr="00542261" w:rsidRDefault="00D51122" w:rsidP="00921903">
            <w:pPr>
              <w:rPr>
                <w:rFonts w:ascii="Arial" w:hAnsi="Arial" w:cs="Arial"/>
                <w:sz w:val="24"/>
                <w:szCs w:val="24"/>
              </w:rPr>
            </w:pPr>
            <w:r w:rsidRPr="00542261">
              <w:rPr>
                <w:rFonts w:ascii="Arial" w:hAnsi="Arial" w:cs="Arial"/>
                <w:sz w:val="24"/>
                <w:szCs w:val="24"/>
              </w:rPr>
              <w:t>4</w:t>
            </w:r>
          </w:p>
        </w:tc>
        <w:tc>
          <w:tcPr>
            <w:tcW w:w="6379" w:type="dxa"/>
          </w:tcPr>
          <w:p w14:paraId="3EEC381E" w14:textId="6990567F" w:rsidR="00D51122" w:rsidRPr="00542261" w:rsidRDefault="00D51122" w:rsidP="00921903">
            <w:pPr>
              <w:rPr>
                <w:rFonts w:ascii="Arial" w:hAnsi="Arial" w:cs="Arial"/>
                <w:sz w:val="24"/>
                <w:szCs w:val="24"/>
              </w:rPr>
            </w:pPr>
            <w:r w:rsidRPr="00542261">
              <w:rPr>
                <w:rFonts w:ascii="Arial" w:hAnsi="Arial" w:cs="Arial"/>
                <w:sz w:val="24"/>
                <w:szCs w:val="24"/>
              </w:rPr>
              <w:t xml:space="preserve">Support senior and line managers to further improve consistency of access to flexible working across different teams, monitor take up and staff perceptions about </w:t>
            </w:r>
            <w:r w:rsidRPr="00542261">
              <w:rPr>
                <w:rFonts w:ascii="Arial" w:hAnsi="Arial" w:cs="Arial"/>
                <w:sz w:val="24"/>
                <w:szCs w:val="24"/>
              </w:rPr>
              <w:lastRenderedPageBreak/>
              <w:t xml:space="preserve">availability of flexible working in the staff engagement survey and </w:t>
            </w:r>
            <w:r w:rsidR="00FD0FD1" w:rsidRPr="00542261">
              <w:rPr>
                <w:rFonts w:ascii="Arial" w:hAnsi="Arial" w:cs="Arial"/>
                <w:sz w:val="24"/>
                <w:szCs w:val="24"/>
              </w:rPr>
              <w:t>act</w:t>
            </w:r>
            <w:r w:rsidRPr="00542261">
              <w:rPr>
                <w:rFonts w:ascii="Arial" w:hAnsi="Arial" w:cs="Arial"/>
                <w:sz w:val="24"/>
                <w:szCs w:val="24"/>
              </w:rPr>
              <w:t xml:space="preserve"> as appropriate, for example training interventions.</w:t>
            </w:r>
          </w:p>
        </w:tc>
        <w:tc>
          <w:tcPr>
            <w:tcW w:w="2075" w:type="dxa"/>
          </w:tcPr>
          <w:p w14:paraId="0731BD7B" w14:textId="77777777" w:rsidR="00D51122" w:rsidRPr="00542261" w:rsidRDefault="00D51122" w:rsidP="00921903">
            <w:pPr>
              <w:rPr>
                <w:rFonts w:ascii="Arial" w:hAnsi="Arial" w:cs="Arial"/>
                <w:sz w:val="24"/>
                <w:szCs w:val="24"/>
              </w:rPr>
            </w:pPr>
            <w:r w:rsidRPr="00542261">
              <w:rPr>
                <w:rFonts w:ascii="Arial" w:hAnsi="Arial" w:cs="Arial"/>
                <w:sz w:val="24"/>
                <w:szCs w:val="24"/>
              </w:rPr>
              <w:lastRenderedPageBreak/>
              <w:t>Ongoing</w:t>
            </w:r>
            <w:r>
              <w:rPr>
                <w:rFonts w:ascii="Arial" w:hAnsi="Arial" w:cs="Arial"/>
                <w:sz w:val="24"/>
                <w:szCs w:val="24"/>
              </w:rPr>
              <w:t>.</w:t>
            </w:r>
          </w:p>
          <w:p w14:paraId="1A3EBE59" w14:textId="77777777" w:rsidR="00D51122" w:rsidRPr="00542261" w:rsidRDefault="00D51122" w:rsidP="00921903">
            <w:pPr>
              <w:rPr>
                <w:rFonts w:ascii="Arial" w:hAnsi="Arial" w:cs="Arial"/>
                <w:sz w:val="24"/>
                <w:szCs w:val="24"/>
              </w:rPr>
            </w:pPr>
            <w:r w:rsidRPr="00542261">
              <w:rPr>
                <w:rFonts w:ascii="Arial" w:hAnsi="Arial" w:cs="Arial"/>
                <w:sz w:val="24"/>
                <w:szCs w:val="24"/>
              </w:rPr>
              <w:t>Survey in place for every 2 years</w:t>
            </w:r>
          </w:p>
        </w:tc>
      </w:tr>
      <w:tr w:rsidR="00D51122" w:rsidRPr="00F20DA6" w14:paraId="12F0A8E1" w14:textId="77777777" w:rsidTr="00921903">
        <w:trPr>
          <w:jc w:val="center"/>
        </w:trPr>
        <w:tc>
          <w:tcPr>
            <w:tcW w:w="9016" w:type="dxa"/>
            <w:gridSpan w:val="3"/>
            <w:shd w:val="clear" w:color="auto" w:fill="4472C4" w:themeFill="accent5"/>
          </w:tcPr>
          <w:p w14:paraId="04AD99C4" w14:textId="77777777" w:rsidR="00D51122" w:rsidRPr="00F20DA6" w:rsidRDefault="00D51122" w:rsidP="00921903">
            <w:pPr>
              <w:rPr>
                <w:rFonts w:ascii="Arial" w:hAnsi="Arial" w:cs="Arial"/>
                <w:b/>
                <w:color w:val="FFFFFF" w:themeColor="background1"/>
                <w:sz w:val="24"/>
                <w:szCs w:val="24"/>
              </w:rPr>
            </w:pPr>
            <w:r w:rsidRPr="00F20DA6">
              <w:rPr>
                <w:rFonts w:ascii="Arial" w:hAnsi="Arial" w:cs="Arial"/>
                <w:b/>
                <w:color w:val="FFFFFF" w:themeColor="background1"/>
                <w:sz w:val="24"/>
                <w:szCs w:val="24"/>
              </w:rPr>
              <w:t>Inclusive leadership and unconscious bias</w:t>
            </w:r>
          </w:p>
        </w:tc>
      </w:tr>
      <w:tr w:rsidR="00D51122" w:rsidRPr="00542261" w14:paraId="7111ABA7" w14:textId="77777777" w:rsidTr="00921903">
        <w:trPr>
          <w:jc w:val="center"/>
        </w:trPr>
        <w:tc>
          <w:tcPr>
            <w:tcW w:w="562" w:type="dxa"/>
          </w:tcPr>
          <w:p w14:paraId="358B8DD1" w14:textId="77777777" w:rsidR="00D51122" w:rsidRPr="00542261" w:rsidRDefault="00D51122" w:rsidP="00921903">
            <w:pPr>
              <w:rPr>
                <w:rFonts w:ascii="Arial" w:hAnsi="Arial" w:cs="Arial"/>
                <w:sz w:val="24"/>
                <w:szCs w:val="24"/>
              </w:rPr>
            </w:pPr>
            <w:r w:rsidRPr="00542261">
              <w:rPr>
                <w:rFonts w:ascii="Arial" w:hAnsi="Arial" w:cs="Arial"/>
                <w:sz w:val="24"/>
                <w:szCs w:val="24"/>
              </w:rPr>
              <w:t>5</w:t>
            </w:r>
          </w:p>
        </w:tc>
        <w:tc>
          <w:tcPr>
            <w:tcW w:w="6379" w:type="dxa"/>
          </w:tcPr>
          <w:p w14:paraId="45CC48BE" w14:textId="77777777" w:rsidR="00D51122" w:rsidRPr="00542261" w:rsidRDefault="00D51122" w:rsidP="00921903">
            <w:pPr>
              <w:rPr>
                <w:rFonts w:ascii="Arial" w:hAnsi="Arial" w:cs="Arial"/>
                <w:sz w:val="24"/>
                <w:szCs w:val="24"/>
              </w:rPr>
            </w:pPr>
            <w:r w:rsidRPr="00542261">
              <w:rPr>
                <w:rFonts w:ascii="Arial" w:hAnsi="Arial" w:cs="Arial"/>
                <w:sz w:val="24"/>
                <w:szCs w:val="24"/>
              </w:rPr>
              <w:t>All interview panels to be gender diverse, trained in best practice in recruitment, including countering discrimination and unconscious bias.</w:t>
            </w:r>
          </w:p>
        </w:tc>
        <w:tc>
          <w:tcPr>
            <w:tcW w:w="2075" w:type="dxa"/>
          </w:tcPr>
          <w:p w14:paraId="490F753E" w14:textId="77777777" w:rsidR="00D51122" w:rsidRPr="00542261" w:rsidRDefault="00D51122" w:rsidP="00921903">
            <w:pPr>
              <w:rPr>
                <w:rFonts w:ascii="Arial" w:hAnsi="Arial" w:cs="Arial"/>
                <w:sz w:val="24"/>
                <w:szCs w:val="24"/>
              </w:rPr>
            </w:pPr>
            <w:r w:rsidRPr="00542261">
              <w:rPr>
                <w:rFonts w:ascii="Arial" w:hAnsi="Arial" w:cs="Arial"/>
                <w:sz w:val="24"/>
                <w:szCs w:val="24"/>
              </w:rPr>
              <w:t>In place -ongoing and monitoring</w:t>
            </w:r>
          </w:p>
        </w:tc>
      </w:tr>
      <w:tr w:rsidR="00D51122" w:rsidRPr="00542261" w14:paraId="24B83967" w14:textId="77777777" w:rsidTr="00921903">
        <w:trPr>
          <w:jc w:val="center"/>
        </w:trPr>
        <w:tc>
          <w:tcPr>
            <w:tcW w:w="562" w:type="dxa"/>
          </w:tcPr>
          <w:p w14:paraId="4DF32798" w14:textId="77777777" w:rsidR="00D51122" w:rsidRPr="00542261" w:rsidRDefault="00D51122" w:rsidP="00921903">
            <w:pPr>
              <w:rPr>
                <w:rFonts w:ascii="Arial" w:hAnsi="Arial" w:cs="Arial"/>
                <w:sz w:val="24"/>
                <w:szCs w:val="24"/>
              </w:rPr>
            </w:pPr>
            <w:r w:rsidRPr="00542261">
              <w:rPr>
                <w:rFonts w:ascii="Arial" w:hAnsi="Arial" w:cs="Arial"/>
                <w:sz w:val="24"/>
                <w:szCs w:val="24"/>
              </w:rPr>
              <w:t>6</w:t>
            </w:r>
          </w:p>
        </w:tc>
        <w:tc>
          <w:tcPr>
            <w:tcW w:w="6379" w:type="dxa"/>
          </w:tcPr>
          <w:p w14:paraId="0442CADD" w14:textId="77777777" w:rsidR="00D51122" w:rsidRPr="00542261" w:rsidRDefault="00D51122" w:rsidP="00921903">
            <w:pPr>
              <w:rPr>
                <w:rFonts w:ascii="Arial" w:hAnsi="Arial" w:cs="Arial"/>
                <w:sz w:val="24"/>
                <w:szCs w:val="24"/>
              </w:rPr>
            </w:pPr>
            <w:r w:rsidRPr="00542261">
              <w:rPr>
                <w:rFonts w:ascii="Arial" w:hAnsi="Arial" w:cs="Arial"/>
                <w:sz w:val="24"/>
                <w:szCs w:val="24"/>
              </w:rPr>
              <w:t>Implement and monitor the impact of ‘no name’ applications forms.</w:t>
            </w:r>
          </w:p>
        </w:tc>
        <w:tc>
          <w:tcPr>
            <w:tcW w:w="2075" w:type="dxa"/>
          </w:tcPr>
          <w:p w14:paraId="116D2F32" w14:textId="77777777" w:rsidR="00D51122" w:rsidRPr="00542261" w:rsidRDefault="00D51122" w:rsidP="00921903">
            <w:pPr>
              <w:rPr>
                <w:rFonts w:ascii="Arial" w:hAnsi="Arial" w:cs="Arial"/>
                <w:sz w:val="24"/>
                <w:szCs w:val="24"/>
              </w:rPr>
            </w:pPr>
            <w:r>
              <w:rPr>
                <w:rFonts w:ascii="Arial" w:hAnsi="Arial" w:cs="Arial"/>
                <w:sz w:val="24"/>
                <w:szCs w:val="24"/>
              </w:rPr>
              <w:t>Has been trialled.</w:t>
            </w:r>
          </w:p>
        </w:tc>
      </w:tr>
      <w:tr w:rsidR="00D51122" w:rsidRPr="00542261" w14:paraId="22A4233E" w14:textId="77777777" w:rsidTr="00921903">
        <w:trPr>
          <w:jc w:val="center"/>
        </w:trPr>
        <w:tc>
          <w:tcPr>
            <w:tcW w:w="562" w:type="dxa"/>
          </w:tcPr>
          <w:p w14:paraId="4A7EECA6" w14:textId="77777777" w:rsidR="00D51122" w:rsidRPr="00542261" w:rsidRDefault="00D51122" w:rsidP="00921903">
            <w:pPr>
              <w:rPr>
                <w:rFonts w:ascii="Arial" w:hAnsi="Arial" w:cs="Arial"/>
                <w:sz w:val="24"/>
                <w:szCs w:val="24"/>
              </w:rPr>
            </w:pPr>
            <w:r w:rsidRPr="00542261">
              <w:rPr>
                <w:rFonts w:ascii="Arial" w:hAnsi="Arial" w:cs="Arial"/>
                <w:sz w:val="24"/>
                <w:szCs w:val="24"/>
              </w:rPr>
              <w:t>7</w:t>
            </w:r>
          </w:p>
        </w:tc>
        <w:tc>
          <w:tcPr>
            <w:tcW w:w="6379" w:type="dxa"/>
          </w:tcPr>
          <w:p w14:paraId="02497A0B" w14:textId="77777777" w:rsidR="00D51122" w:rsidRPr="00542261" w:rsidRDefault="00D51122" w:rsidP="00921903">
            <w:pPr>
              <w:rPr>
                <w:rFonts w:ascii="Arial" w:hAnsi="Arial" w:cs="Arial"/>
                <w:sz w:val="24"/>
                <w:szCs w:val="24"/>
              </w:rPr>
            </w:pPr>
            <w:r w:rsidRPr="00542261">
              <w:rPr>
                <w:rFonts w:ascii="Arial" w:hAnsi="Arial" w:cs="Arial"/>
                <w:sz w:val="24"/>
                <w:szCs w:val="24"/>
              </w:rPr>
              <w:t>Include an unconscious bias script/reminder in the interview pack for recruiting managers, to ensure bias/how to minimise it is front of mind.</w:t>
            </w:r>
          </w:p>
        </w:tc>
        <w:tc>
          <w:tcPr>
            <w:tcW w:w="2075" w:type="dxa"/>
          </w:tcPr>
          <w:p w14:paraId="57DBB463" w14:textId="77777777" w:rsidR="00D51122" w:rsidRPr="00542261" w:rsidRDefault="00D51122" w:rsidP="00921903">
            <w:pPr>
              <w:rPr>
                <w:rFonts w:ascii="Arial" w:hAnsi="Arial" w:cs="Arial"/>
                <w:sz w:val="24"/>
                <w:szCs w:val="24"/>
              </w:rPr>
            </w:pPr>
            <w:r w:rsidRPr="00542261">
              <w:rPr>
                <w:rFonts w:ascii="Arial" w:hAnsi="Arial" w:cs="Arial"/>
                <w:sz w:val="24"/>
                <w:szCs w:val="24"/>
              </w:rPr>
              <w:t>In place -ongoing and monitoring</w:t>
            </w:r>
          </w:p>
        </w:tc>
      </w:tr>
      <w:tr w:rsidR="00D51122" w:rsidRPr="00542261" w14:paraId="66F1D823" w14:textId="77777777" w:rsidTr="00921903">
        <w:trPr>
          <w:jc w:val="center"/>
        </w:trPr>
        <w:tc>
          <w:tcPr>
            <w:tcW w:w="562" w:type="dxa"/>
          </w:tcPr>
          <w:p w14:paraId="0DE8D3DF" w14:textId="77777777" w:rsidR="00D51122" w:rsidRPr="00542261" w:rsidRDefault="00D51122" w:rsidP="00921903">
            <w:pPr>
              <w:rPr>
                <w:rFonts w:ascii="Arial" w:hAnsi="Arial" w:cs="Arial"/>
                <w:sz w:val="24"/>
                <w:szCs w:val="24"/>
              </w:rPr>
            </w:pPr>
            <w:r w:rsidRPr="00542261">
              <w:rPr>
                <w:rFonts w:ascii="Arial" w:hAnsi="Arial" w:cs="Arial"/>
                <w:sz w:val="24"/>
                <w:szCs w:val="24"/>
              </w:rPr>
              <w:t>8</w:t>
            </w:r>
          </w:p>
        </w:tc>
        <w:tc>
          <w:tcPr>
            <w:tcW w:w="6379" w:type="dxa"/>
          </w:tcPr>
          <w:p w14:paraId="3814DD64" w14:textId="77777777" w:rsidR="00D51122" w:rsidRPr="00542261" w:rsidRDefault="00D51122" w:rsidP="00921903">
            <w:pPr>
              <w:rPr>
                <w:rFonts w:ascii="Arial" w:hAnsi="Arial" w:cs="Arial"/>
                <w:sz w:val="24"/>
                <w:szCs w:val="24"/>
              </w:rPr>
            </w:pPr>
            <w:r w:rsidRPr="00542261">
              <w:rPr>
                <w:rFonts w:ascii="Arial" w:hAnsi="Arial" w:cs="Arial"/>
                <w:sz w:val="24"/>
                <w:szCs w:val="24"/>
              </w:rPr>
              <w:t>Roll out unconscious bias learning to all staff</w:t>
            </w:r>
          </w:p>
        </w:tc>
        <w:tc>
          <w:tcPr>
            <w:tcW w:w="2075" w:type="dxa"/>
          </w:tcPr>
          <w:p w14:paraId="137E14D5" w14:textId="77777777" w:rsidR="00D51122" w:rsidRPr="00542261" w:rsidRDefault="00D51122" w:rsidP="00921903">
            <w:pPr>
              <w:rPr>
                <w:rFonts w:ascii="Arial" w:hAnsi="Arial" w:cs="Arial"/>
                <w:sz w:val="24"/>
                <w:szCs w:val="24"/>
              </w:rPr>
            </w:pPr>
            <w:r>
              <w:rPr>
                <w:rFonts w:ascii="Arial" w:hAnsi="Arial" w:cs="Arial"/>
                <w:sz w:val="24"/>
                <w:szCs w:val="24"/>
              </w:rPr>
              <w:t>Ongoing</w:t>
            </w:r>
          </w:p>
        </w:tc>
      </w:tr>
      <w:tr w:rsidR="00D51122" w:rsidRPr="00542261" w14:paraId="1B1C52BA" w14:textId="77777777" w:rsidTr="00921903">
        <w:trPr>
          <w:jc w:val="center"/>
        </w:trPr>
        <w:tc>
          <w:tcPr>
            <w:tcW w:w="562" w:type="dxa"/>
          </w:tcPr>
          <w:p w14:paraId="66FDAFB9" w14:textId="77777777" w:rsidR="00D51122" w:rsidRPr="00542261" w:rsidRDefault="00D51122" w:rsidP="00921903">
            <w:pPr>
              <w:rPr>
                <w:rFonts w:ascii="Arial" w:hAnsi="Arial" w:cs="Arial"/>
                <w:sz w:val="24"/>
                <w:szCs w:val="24"/>
              </w:rPr>
            </w:pPr>
            <w:r w:rsidRPr="00542261">
              <w:rPr>
                <w:rFonts w:ascii="Arial" w:hAnsi="Arial" w:cs="Arial"/>
                <w:sz w:val="24"/>
                <w:szCs w:val="24"/>
              </w:rPr>
              <w:t>9</w:t>
            </w:r>
          </w:p>
        </w:tc>
        <w:tc>
          <w:tcPr>
            <w:tcW w:w="6379" w:type="dxa"/>
          </w:tcPr>
          <w:p w14:paraId="2D4B3376" w14:textId="035C1168" w:rsidR="00D51122" w:rsidRPr="00542261" w:rsidRDefault="00D51122" w:rsidP="00921903">
            <w:pPr>
              <w:rPr>
                <w:rFonts w:ascii="Arial" w:hAnsi="Arial" w:cs="Arial"/>
                <w:sz w:val="24"/>
                <w:szCs w:val="24"/>
              </w:rPr>
            </w:pPr>
            <w:r w:rsidRPr="00542261">
              <w:rPr>
                <w:rFonts w:ascii="Arial" w:hAnsi="Arial" w:cs="Arial"/>
                <w:sz w:val="24"/>
                <w:szCs w:val="24"/>
              </w:rPr>
              <w:t xml:space="preserve">Encourage and monitor take-up of mandatory Diversity and Inclusion training to further minimise discrimination, inappropriate </w:t>
            </w:r>
            <w:r w:rsidR="00FD0FD1" w:rsidRPr="00542261">
              <w:rPr>
                <w:rFonts w:ascii="Arial" w:hAnsi="Arial" w:cs="Arial"/>
                <w:sz w:val="24"/>
                <w:szCs w:val="24"/>
              </w:rPr>
              <w:t>behaviours,</w:t>
            </w:r>
            <w:r w:rsidRPr="00542261">
              <w:rPr>
                <w:rFonts w:ascii="Arial" w:hAnsi="Arial" w:cs="Arial"/>
                <w:sz w:val="24"/>
                <w:szCs w:val="24"/>
              </w:rPr>
              <w:t xml:space="preserve"> and unconscious bias occurrence in the workplace. Offer team-based refresher training where appropriate.</w:t>
            </w:r>
          </w:p>
        </w:tc>
        <w:tc>
          <w:tcPr>
            <w:tcW w:w="2075" w:type="dxa"/>
          </w:tcPr>
          <w:p w14:paraId="3901F4E2" w14:textId="77777777" w:rsidR="00D51122" w:rsidRPr="00542261" w:rsidRDefault="00D51122" w:rsidP="00921903">
            <w:pPr>
              <w:rPr>
                <w:rFonts w:ascii="Arial" w:hAnsi="Arial" w:cs="Arial"/>
                <w:sz w:val="24"/>
                <w:szCs w:val="24"/>
              </w:rPr>
            </w:pPr>
            <w:r>
              <w:rPr>
                <w:rFonts w:ascii="Arial" w:hAnsi="Arial" w:cs="Arial"/>
                <w:sz w:val="24"/>
                <w:szCs w:val="24"/>
              </w:rPr>
              <w:t>Ongoing</w:t>
            </w:r>
          </w:p>
        </w:tc>
      </w:tr>
      <w:tr w:rsidR="00D51122" w:rsidRPr="00F20DA6" w14:paraId="60F3C98B" w14:textId="77777777" w:rsidTr="00921903">
        <w:trPr>
          <w:jc w:val="center"/>
        </w:trPr>
        <w:tc>
          <w:tcPr>
            <w:tcW w:w="9016" w:type="dxa"/>
            <w:gridSpan w:val="3"/>
            <w:shd w:val="clear" w:color="auto" w:fill="4472C4" w:themeFill="accent5"/>
          </w:tcPr>
          <w:p w14:paraId="289E6E22" w14:textId="77777777" w:rsidR="00D51122" w:rsidRPr="00F20DA6" w:rsidRDefault="00D51122" w:rsidP="00921903">
            <w:pPr>
              <w:rPr>
                <w:rFonts w:ascii="Arial" w:hAnsi="Arial" w:cs="Arial"/>
                <w:b/>
                <w:color w:val="FFFFFF" w:themeColor="background1"/>
                <w:sz w:val="24"/>
                <w:szCs w:val="24"/>
              </w:rPr>
            </w:pPr>
            <w:r w:rsidRPr="00F20DA6">
              <w:rPr>
                <w:rFonts w:ascii="Arial" w:hAnsi="Arial" w:cs="Arial"/>
                <w:b/>
                <w:color w:val="FFFFFF" w:themeColor="background1"/>
                <w:sz w:val="24"/>
                <w:szCs w:val="24"/>
              </w:rPr>
              <w:t>Career development – timeframes required</w:t>
            </w:r>
          </w:p>
        </w:tc>
      </w:tr>
      <w:tr w:rsidR="00D51122" w:rsidRPr="00542261" w14:paraId="09887FC9" w14:textId="77777777" w:rsidTr="00921903">
        <w:trPr>
          <w:jc w:val="center"/>
        </w:trPr>
        <w:tc>
          <w:tcPr>
            <w:tcW w:w="562" w:type="dxa"/>
          </w:tcPr>
          <w:p w14:paraId="0387C65F" w14:textId="77777777" w:rsidR="00D51122" w:rsidRPr="00542261" w:rsidRDefault="00D51122" w:rsidP="00921903">
            <w:pPr>
              <w:rPr>
                <w:rFonts w:ascii="Arial" w:hAnsi="Arial" w:cs="Arial"/>
                <w:sz w:val="24"/>
                <w:szCs w:val="24"/>
              </w:rPr>
            </w:pPr>
            <w:r w:rsidRPr="00542261">
              <w:rPr>
                <w:rFonts w:ascii="Arial" w:hAnsi="Arial" w:cs="Arial"/>
                <w:sz w:val="24"/>
                <w:szCs w:val="24"/>
              </w:rPr>
              <w:t>10</w:t>
            </w:r>
          </w:p>
        </w:tc>
        <w:tc>
          <w:tcPr>
            <w:tcW w:w="6379" w:type="dxa"/>
          </w:tcPr>
          <w:p w14:paraId="0AD1DB12" w14:textId="0541C40D" w:rsidR="00D51122" w:rsidRPr="00542261" w:rsidRDefault="00D51122" w:rsidP="00921903">
            <w:pPr>
              <w:rPr>
                <w:rFonts w:ascii="Arial" w:hAnsi="Arial" w:cs="Arial"/>
                <w:sz w:val="24"/>
                <w:szCs w:val="24"/>
              </w:rPr>
            </w:pPr>
            <w:r w:rsidRPr="00542261">
              <w:rPr>
                <w:rFonts w:ascii="Arial" w:hAnsi="Arial" w:cs="Arial"/>
                <w:sz w:val="24"/>
                <w:szCs w:val="24"/>
              </w:rPr>
              <w:t>Continue to expand the mentoring, career advice/coaching offer and career development programmes by allocating funding for women and promote it in t</w:t>
            </w:r>
            <w:r w:rsidR="00183A4C">
              <w:rPr>
                <w:rFonts w:ascii="Arial" w:hAnsi="Arial" w:cs="Arial"/>
                <w:sz w:val="24"/>
                <w:szCs w:val="24"/>
              </w:rPr>
              <w:t>he</w:t>
            </w:r>
            <w:r w:rsidRPr="00542261">
              <w:rPr>
                <w:rFonts w:ascii="Arial" w:hAnsi="Arial" w:cs="Arial"/>
                <w:sz w:val="24"/>
                <w:szCs w:val="24"/>
              </w:rPr>
              <w:t xml:space="preserve"> organisation to maximise take up.</w:t>
            </w:r>
          </w:p>
        </w:tc>
        <w:tc>
          <w:tcPr>
            <w:tcW w:w="2075" w:type="dxa"/>
          </w:tcPr>
          <w:p w14:paraId="2FCDE9A1" w14:textId="77777777" w:rsidR="00D51122" w:rsidRPr="00542261" w:rsidRDefault="00D51122" w:rsidP="00921903">
            <w:pPr>
              <w:rPr>
                <w:rFonts w:ascii="Arial" w:hAnsi="Arial" w:cs="Arial"/>
                <w:sz w:val="24"/>
                <w:szCs w:val="24"/>
              </w:rPr>
            </w:pPr>
            <w:r w:rsidRPr="005015E6">
              <w:rPr>
                <w:rFonts w:ascii="Arial" w:hAnsi="Arial" w:cs="Arial"/>
                <w:sz w:val="24"/>
                <w:szCs w:val="24"/>
              </w:rPr>
              <w:t>Ongoing</w:t>
            </w:r>
          </w:p>
        </w:tc>
      </w:tr>
      <w:tr w:rsidR="00D51122" w:rsidRPr="00542261" w14:paraId="6EF6FFED" w14:textId="77777777" w:rsidTr="00921903">
        <w:trPr>
          <w:jc w:val="center"/>
        </w:trPr>
        <w:tc>
          <w:tcPr>
            <w:tcW w:w="562" w:type="dxa"/>
          </w:tcPr>
          <w:p w14:paraId="549B01A2" w14:textId="77777777" w:rsidR="00D51122" w:rsidRPr="00542261" w:rsidRDefault="00D51122" w:rsidP="00921903">
            <w:pPr>
              <w:rPr>
                <w:rFonts w:ascii="Arial" w:hAnsi="Arial" w:cs="Arial"/>
                <w:sz w:val="24"/>
                <w:szCs w:val="24"/>
              </w:rPr>
            </w:pPr>
            <w:r w:rsidRPr="00542261">
              <w:rPr>
                <w:rFonts w:ascii="Arial" w:hAnsi="Arial" w:cs="Arial"/>
                <w:sz w:val="24"/>
                <w:szCs w:val="24"/>
              </w:rPr>
              <w:t>11</w:t>
            </w:r>
          </w:p>
        </w:tc>
        <w:tc>
          <w:tcPr>
            <w:tcW w:w="6379" w:type="dxa"/>
          </w:tcPr>
          <w:p w14:paraId="599A85DB" w14:textId="77777777" w:rsidR="00D51122" w:rsidRPr="00542261" w:rsidRDefault="00D51122" w:rsidP="00921903">
            <w:pPr>
              <w:rPr>
                <w:rFonts w:ascii="Arial" w:hAnsi="Arial" w:cs="Arial"/>
                <w:sz w:val="24"/>
                <w:szCs w:val="24"/>
              </w:rPr>
            </w:pPr>
            <w:r w:rsidRPr="00542261">
              <w:rPr>
                <w:rFonts w:ascii="Arial" w:hAnsi="Arial" w:cs="Arial"/>
                <w:sz w:val="24"/>
                <w:szCs w:val="24"/>
              </w:rPr>
              <w:t>Offer access to external mentors through initiatives like Women’s Sponsorship Initiative and prioritise access to middle and senior manager level female staff.</w:t>
            </w:r>
          </w:p>
        </w:tc>
        <w:tc>
          <w:tcPr>
            <w:tcW w:w="2075" w:type="dxa"/>
          </w:tcPr>
          <w:p w14:paraId="180E12E1" w14:textId="77777777" w:rsidR="00D51122" w:rsidRPr="00542261" w:rsidRDefault="00D51122" w:rsidP="00921903">
            <w:pPr>
              <w:rPr>
                <w:rFonts w:ascii="Arial" w:hAnsi="Arial" w:cs="Arial"/>
                <w:sz w:val="24"/>
                <w:szCs w:val="24"/>
              </w:rPr>
            </w:pPr>
            <w:r w:rsidRPr="005015E6">
              <w:rPr>
                <w:rFonts w:ascii="Arial" w:hAnsi="Arial" w:cs="Arial"/>
                <w:sz w:val="24"/>
                <w:szCs w:val="24"/>
              </w:rPr>
              <w:t>Ongoing</w:t>
            </w:r>
          </w:p>
        </w:tc>
      </w:tr>
      <w:tr w:rsidR="00D51122" w:rsidRPr="00542261" w14:paraId="211A5942" w14:textId="77777777" w:rsidTr="00921903">
        <w:trPr>
          <w:trHeight w:val="1975"/>
          <w:jc w:val="center"/>
        </w:trPr>
        <w:tc>
          <w:tcPr>
            <w:tcW w:w="562" w:type="dxa"/>
          </w:tcPr>
          <w:p w14:paraId="14C51E29" w14:textId="77777777" w:rsidR="00D51122" w:rsidRPr="00542261" w:rsidRDefault="00D51122" w:rsidP="00921903">
            <w:pPr>
              <w:rPr>
                <w:rFonts w:ascii="Arial" w:hAnsi="Arial" w:cs="Arial"/>
                <w:sz w:val="24"/>
                <w:szCs w:val="24"/>
              </w:rPr>
            </w:pPr>
            <w:r w:rsidRPr="00542261">
              <w:rPr>
                <w:rFonts w:ascii="Arial" w:hAnsi="Arial" w:cs="Arial"/>
                <w:sz w:val="24"/>
                <w:szCs w:val="24"/>
              </w:rPr>
              <w:t>12</w:t>
            </w:r>
          </w:p>
        </w:tc>
        <w:tc>
          <w:tcPr>
            <w:tcW w:w="6379" w:type="dxa"/>
          </w:tcPr>
          <w:p w14:paraId="6922D67F" w14:textId="77777777" w:rsidR="00D51122" w:rsidRPr="00542261" w:rsidRDefault="00D51122" w:rsidP="00921903">
            <w:pPr>
              <w:rPr>
                <w:rFonts w:ascii="Arial" w:hAnsi="Arial" w:cs="Arial"/>
                <w:sz w:val="24"/>
                <w:szCs w:val="24"/>
              </w:rPr>
            </w:pPr>
            <w:r w:rsidRPr="00542261">
              <w:rPr>
                <w:rFonts w:ascii="Arial" w:hAnsi="Arial" w:cs="Arial"/>
                <w:sz w:val="24"/>
                <w:szCs w:val="24"/>
              </w:rPr>
              <w:t>Produce regular updates as part of the Workforce Report on take-up of development opportunities by gender and other equality strands. Include breakdown by permanent/fixed term contracts to see if staff on fixed term contracts are not adversely affected. Where appropriate, extend development opportunities available to permanent staff, to staff on short term contracts.</w:t>
            </w:r>
          </w:p>
        </w:tc>
        <w:tc>
          <w:tcPr>
            <w:tcW w:w="2075" w:type="dxa"/>
          </w:tcPr>
          <w:p w14:paraId="788BAA8A" w14:textId="77777777" w:rsidR="00D51122" w:rsidRPr="00542261" w:rsidRDefault="00D51122" w:rsidP="00921903">
            <w:pPr>
              <w:rPr>
                <w:rFonts w:ascii="Arial" w:hAnsi="Arial" w:cs="Arial"/>
                <w:sz w:val="24"/>
                <w:szCs w:val="24"/>
              </w:rPr>
            </w:pPr>
            <w:r w:rsidRPr="005015E6">
              <w:rPr>
                <w:rFonts w:ascii="Arial" w:hAnsi="Arial" w:cs="Arial"/>
                <w:sz w:val="24"/>
                <w:szCs w:val="24"/>
              </w:rPr>
              <w:t>Ongoing</w:t>
            </w:r>
          </w:p>
        </w:tc>
      </w:tr>
      <w:tr w:rsidR="00D51122" w:rsidRPr="00542261" w14:paraId="19A5D177" w14:textId="77777777" w:rsidTr="00921903">
        <w:trPr>
          <w:jc w:val="center"/>
        </w:trPr>
        <w:tc>
          <w:tcPr>
            <w:tcW w:w="562" w:type="dxa"/>
          </w:tcPr>
          <w:p w14:paraId="0ADF0CD3" w14:textId="77777777" w:rsidR="00D51122" w:rsidRPr="00542261" w:rsidRDefault="00D51122" w:rsidP="00921903">
            <w:pPr>
              <w:rPr>
                <w:rFonts w:ascii="Arial" w:hAnsi="Arial" w:cs="Arial"/>
                <w:sz w:val="24"/>
                <w:szCs w:val="24"/>
              </w:rPr>
            </w:pPr>
            <w:r w:rsidRPr="00542261">
              <w:rPr>
                <w:rFonts w:ascii="Arial" w:hAnsi="Arial" w:cs="Arial"/>
                <w:sz w:val="24"/>
                <w:szCs w:val="24"/>
              </w:rPr>
              <w:t>13</w:t>
            </w:r>
          </w:p>
        </w:tc>
        <w:tc>
          <w:tcPr>
            <w:tcW w:w="6379" w:type="dxa"/>
          </w:tcPr>
          <w:p w14:paraId="29FBB7F2" w14:textId="77777777" w:rsidR="00D51122" w:rsidRPr="00542261" w:rsidRDefault="00D51122" w:rsidP="00921903">
            <w:pPr>
              <w:rPr>
                <w:rFonts w:ascii="Arial" w:hAnsi="Arial" w:cs="Arial"/>
                <w:sz w:val="24"/>
                <w:szCs w:val="24"/>
              </w:rPr>
            </w:pPr>
            <w:r w:rsidRPr="00542261">
              <w:rPr>
                <w:rFonts w:ascii="Arial" w:hAnsi="Arial" w:cs="Arial"/>
                <w:sz w:val="24"/>
                <w:szCs w:val="24"/>
              </w:rPr>
              <w:t>Provide leadership and management development programmes to establish a talent pipeline for leaders and managers of the future. Monitor resulting promotions and other impact on career development.</w:t>
            </w:r>
          </w:p>
        </w:tc>
        <w:tc>
          <w:tcPr>
            <w:tcW w:w="2075" w:type="dxa"/>
          </w:tcPr>
          <w:p w14:paraId="38CC88B8" w14:textId="77777777" w:rsidR="00D51122" w:rsidRPr="00542261" w:rsidRDefault="00D51122" w:rsidP="00921903">
            <w:pPr>
              <w:rPr>
                <w:rFonts w:ascii="Arial" w:hAnsi="Arial" w:cs="Arial"/>
                <w:sz w:val="24"/>
                <w:szCs w:val="24"/>
              </w:rPr>
            </w:pPr>
            <w:r w:rsidRPr="005015E6">
              <w:rPr>
                <w:rFonts w:ascii="Arial" w:hAnsi="Arial" w:cs="Arial"/>
                <w:sz w:val="24"/>
                <w:szCs w:val="24"/>
              </w:rPr>
              <w:t>Ongoing</w:t>
            </w:r>
          </w:p>
        </w:tc>
      </w:tr>
      <w:tr w:rsidR="00D51122" w:rsidRPr="00542261" w14:paraId="6756F0BC" w14:textId="77777777" w:rsidTr="00921903">
        <w:trPr>
          <w:jc w:val="center"/>
        </w:trPr>
        <w:tc>
          <w:tcPr>
            <w:tcW w:w="562" w:type="dxa"/>
          </w:tcPr>
          <w:p w14:paraId="096174D0" w14:textId="77777777" w:rsidR="00D51122" w:rsidRPr="00542261" w:rsidRDefault="00D51122" w:rsidP="00921903">
            <w:pPr>
              <w:rPr>
                <w:rFonts w:ascii="Arial" w:hAnsi="Arial" w:cs="Arial"/>
                <w:sz w:val="24"/>
                <w:szCs w:val="24"/>
              </w:rPr>
            </w:pPr>
            <w:r>
              <w:rPr>
                <w:rFonts w:ascii="Arial" w:hAnsi="Arial" w:cs="Arial"/>
                <w:sz w:val="24"/>
                <w:szCs w:val="24"/>
              </w:rPr>
              <w:t>14</w:t>
            </w:r>
          </w:p>
        </w:tc>
        <w:tc>
          <w:tcPr>
            <w:tcW w:w="6379" w:type="dxa"/>
          </w:tcPr>
          <w:p w14:paraId="7ACAF3F9" w14:textId="03A9DB50" w:rsidR="00D51122" w:rsidRPr="00A56081" w:rsidRDefault="00D51122" w:rsidP="00921903">
            <w:pPr>
              <w:rPr>
                <w:rFonts w:ascii="Arial" w:hAnsi="Arial" w:cs="Arial"/>
                <w:sz w:val="24"/>
                <w:szCs w:val="24"/>
              </w:rPr>
            </w:pPr>
            <w:r w:rsidRPr="00A56081">
              <w:rPr>
                <w:rFonts w:ascii="Arial" w:hAnsi="Arial" w:cs="Arial"/>
                <w:sz w:val="24"/>
                <w:szCs w:val="24"/>
              </w:rPr>
              <w:t>Review and strengthen succession planning and</w:t>
            </w:r>
          </w:p>
          <w:p w14:paraId="56FEA24C" w14:textId="264F4FF3" w:rsidR="00D51122" w:rsidRPr="00A56081" w:rsidRDefault="00D51122" w:rsidP="00921903">
            <w:pPr>
              <w:rPr>
                <w:rFonts w:ascii="Arial" w:hAnsi="Arial" w:cs="Arial"/>
                <w:sz w:val="24"/>
                <w:szCs w:val="24"/>
              </w:rPr>
            </w:pPr>
            <w:r w:rsidRPr="00A56081">
              <w:rPr>
                <w:rFonts w:ascii="Arial" w:hAnsi="Arial" w:cs="Arial"/>
                <w:sz w:val="24"/>
                <w:szCs w:val="24"/>
              </w:rPr>
              <w:t>talent management processes which together will</w:t>
            </w:r>
          </w:p>
          <w:p w14:paraId="01A52DC8" w14:textId="4BBAE67B" w:rsidR="00D51122" w:rsidRPr="00A56081" w:rsidRDefault="00D51122" w:rsidP="00921903">
            <w:pPr>
              <w:rPr>
                <w:rFonts w:ascii="Arial" w:hAnsi="Arial" w:cs="Arial"/>
                <w:sz w:val="24"/>
                <w:szCs w:val="24"/>
              </w:rPr>
            </w:pPr>
            <w:r w:rsidRPr="00A56081">
              <w:rPr>
                <w:rFonts w:ascii="Arial" w:hAnsi="Arial" w:cs="Arial"/>
                <w:sz w:val="24"/>
                <w:szCs w:val="24"/>
              </w:rPr>
              <w:t>lead to an effective career development process for</w:t>
            </w:r>
          </w:p>
          <w:p w14:paraId="38DA01E9" w14:textId="77777777" w:rsidR="00D51122" w:rsidRPr="00542261" w:rsidRDefault="00D51122" w:rsidP="00921903">
            <w:pPr>
              <w:rPr>
                <w:rFonts w:ascii="Arial" w:hAnsi="Arial" w:cs="Arial"/>
                <w:sz w:val="24"/>
                <w:szCs w:val="24"/>
              </w:rPr>
            </w:pPr>
            <w:r w:rsidRPr="00A56081">
              <w:rPr>
                <w:rFonts w:ascii="Arial" w:hAnsi="Arial" w:cs="Arial"/>
                <w:sz w:val="24"/>
                <w:szCs w:val="24"/>
              </w:rPr>
              <w:t>senior roles.</w:t>
            </w:r>
          </w:p>
        </w:tc>
        <w:tc>
          <w:tcPr>
            <w:tcW w:w="2075" w:type="dxa"/>
          </w:tcPr>
          <w:p w14:paraId="1E882097" w14:textId="77777777" w:rsidR="00D51122" w:rsidRPr="00542261" w:rsidRDefault="00D51122" w:rsidP="00921903">
            <w:pPr>
              <w:rPr>
                <w:rFonts w:ascii="Arial" w:hAnsi="Arial" w:cs="Arial"/>
                <w:sz w:val="24"/>
                <w:szCs w:val="24"/>
              </w:rPr>
            </w:pPr>
            <w:r w:rsidRPr="005015E6">
              <w:rPr>
                <w:rFonts w:ascii="Arial" w:hAnsi="Arial" w:cs="Arial"/>
                <w:sz w:val="24"/>
                <w:szCs w:val="24"/>
              </w:rPr>
              <w:t>Ongoing</w:t>
            </w:r>
          </w:p>
        </w:tc>
      </w:tr>
      <w:tr w:rsidR="00D51122" w:rsidRPr="00542261" w14:paraId="021AED23" w14:textId="77777777" w:rsidTr="00921903">
        <w:trPr>
          <w:jc w:val="center"/>
        </w:trPr>
        <w:tc>
          <w:tcPr>
            <w:tcW w:w="562" w:type="dxa"/>
          </w:tcPr>
          <w:p w14:paraId="0D5E38C3" w14:textId="77777777" w:rsidR="00D51122" w:rsidRDefault="00D51122" w:rsidP="00921903">
            <w:pPr>
              <w:rPr>
                <w:rFonts w:ascii="Arial" w:hAnsi="Arial" w:cs="Arial"/>
                <w:sz w:val="24"/>
                <w:szCs w:val="24"/>
              </w:rPr>
            </w:pPr>
            <w:r>
              <w:rPr>
                <w:rFonts w:ascii="Arial" w:hAnsi="Arial" w:cs="Arial"/>
                <w:sz w:val="24"/>
                <w:szCs w:val="24"/>
              </w:rPr>
              <w:t>15</w:t>
            </w:r>
          </w:p>
        </w:tc>
        <w:tc>
          <w:tcPr>
            <w:tcW w:w="6379" w:type="dxa"/>
          </w:tcPr>
          <w:p w14:paraId="72B449DC" w14:textId="5C28E847" w:rsidR="00D51122" w:rsidRPr="00A56081" w:rsidRDefault="00D51122" w:rsidP="00921903">
            <w:pPr>
              <w:rPr>
                <w:rFonts w:ascii="Arial" w:hAnsi="Arial" w:cs="Arial"/>
                <w:sz w:val="24"/>
                <w:szCs w:val="24"/>
              </w:rPr>
            </w:pPr>
            <w:r w:rsidRPr="00A56081">
              <w:rPr>
                <w:rFonts w:ascii="Arial" w:hAnsi="Arial" w:cs="Arial"/>
                <w:sz w:val="24"/>
                <w:szCs w:val="24"/>
              </w:rPr>
              <w:t>Review our policies and practice around additional</w:t>
            </w:r>
          </w:p>
          <w:p w14:paraId="09825F88" w14:textId="2863E5B4" w:rsidR="00D51122" w:rsidRPr="00A56081" w:rsidRDefault="00D51122" w:rsidP="00921903">
            <w:pPr>
              <w:rPr>
                <w:rFonts w:ascii="Arial" w:hAnsi="Arial" w:cs="Arial"/>
                <w:sz w:val="24"/>
                <w:szCs w:val="24"/>
              </w:rPr>
            </w:pPr>
            <w:r w:rsidRPr="00A56081">
              <w:rPr>
                <w:rFonts w:ascii="Arial" w:hAnsi="Arial" w:cs="Arial"/>
                <w:sz w:val="24"/>
                <w:szCs w:val="24"/>
              </w:rPr>
              <w:t>payments to ensure it is fair and transparent and that</w:t>
            </w:r>
          </w:p>
          <w:p w14:paraId="69979961" w14:textId="77777777" w:rsidR="00D51122" w:rsidRPr="00A56081" w:rsidRDefault="00D51122" w:rsidP="00921903">
            <w:pPr>
              <w:rPr>
                <w:rFonts w:ascii="Arial" w:hAnsi="Arial" w:cs="Arial"/>
                <w:sz w:val="24"/>
                <w:szCs w:val="24"/>
              </w:rPr>
            </w:pPr>
            <w:r w:rsidRPr="00A56081">
              <w:rPr>
                <w:rFonts w:ascii="Arial" w:hAnsi="Arial" w:cs="Arial"/>
                <w:sz w:val="24"/>
                <w:szCs w:val="24"/>
              </w:rPr>
              <w:lastRenderedPageBreak/>
              <w:t>women, and other groups are not disadvantaged.</w:t>
            </w:r>
          </w:p>
        </w:tc>
        <w:tc>
          <w:tcPr>
            <w:tcW w:w="2075" w:type="dxa"/>
          </w:tcPr>
          <w:p w14:paraId="77E4082F" w14:textId="77777777" w:rsidR="00D51122" w:rsidRPr="00542261" w:rsidRDefault="00D51122" w:rsidP="00921903">
            <w:pPr>
              <w:rPr>
                <w:rFonts w:ascii="Arial" w:hAnsi="Arial" w:cs="Arial"/>
                <w:sz w:val="24"/>
                <w:szCs w:val="24"/>
              </w:rPr>
            </w:pPr>
            <w:r w:rsidRPr="005015E6">
              <w:rPr>
                <w:rFonts w:ascii="Arial" w:hAnsi="Arial" w:cs="Arial"/>
                <w:sz w:val="24"/>
                <w:szCs w:val="24"/>
              </w:rPr>
              <w:lastRenderedPageBreak/>
              <w:t>Ongoing</w:t>
            </w:r>
          </w:p>
        </w:tc>
      </w:tr>
      <w:tr w:rsidR="00D51122" w:rsidRPr="00F20DA6" w14:paraId="7506EF75" w14:textId="77777777" w:rsidTr="00921903">
        <w:trPr>
          <w:jc w:val="center"/>
        </w:trPr>
        <w:tc>
          <w:tcPr>
            <w:tcW w:w="9016" w:type="dxa"/>
            <w:gridSpan w:val="3"/>
            <w:shd w:val="clear" w:color="auto" w:fill="4472C4" w:themeFill="accent5"/>
          </w:tcPr>
          <w:p w14:paraId="5E080725" w14:textId="77777777" w:rsidR="00D51122" w:rsidRPr="00F20DA6" w:rsidRDefault="00D51122" w:rsidP="00921903">
            <w:pPr>
              <w:rPr>
                <w:rFonts w:ascii="Arial" w:hAnsi="Arial" w:cs="Arial"/>
                <w:b/>
                <w:color w:val="FFFFFF" w:themeColor="background1"/>
                <w:sz w:val="24"/>
                <w:szCs w:val="24"/>
              </w:rPr>
            </w:pPr>
            <w:r w:rsidRPr="00F20DA6">
              <w:rPr>
                <w:rFonts w:ascii="Arial" w:hAnsi="Arial" w:cs="Arial"/>
                <w:b/>
                <w:color w:val="FFFFFF" w:themeColor="background1"/>
                <w:sz w:val="24"/>
                <w:szCs w:val="24"/>
              </w:rPr>
              <w:t>Senior level recruitment</w:t>
            </w:r>
          </w:p>
        </w:tc>
      </w:tr>
      <w:tr w:rsidR="00D51122" w:rsidRPr="00542261" w14:paraId="6AD33273" w14:textId="77777777" w:rsidTr="00921903">
        <w:trPr>
          <w:jc w:val="center"/>
        </w:trPr>
        <w:tc>
          <w:tcPr>
            <w:tcW w:w="562" w:type="dxa"/>
          </w:tcPr>
          <w:p w14:paraId="261D4441" w14:textId="77777777" w:rsidR="00D51122" w:rsidRPr="00542261" w:rsidRDefault="00D51122" w:rsidP="00921903">
            <w:pPr>
              <w:rPr>
                <w:rFonts w:ascii="Arial" w:hAnsi="Arial" w:cs="Arial"/>
                <w:sz w:val="24"/>
                <w:szCs w:val="24"/>
              </w:rPr>
            </w:pPr>
            <w:r w:rsidRPr="00542261">
              <w:rPr>
                <w:rFonts w:ascii="Arial" w:hAnsi="Arial" w:cs="Arial"/>
                <w:sz w:val="24"/>
                <w:szCs w:val="24"/>
              </w:rPr>
              <w:t>1</w:t>
            </w:r>
            <w:r>
              <w:rPr>
                <w:rFonts w:ascii="Arial" w:hAnsi="Arial" w:cs="Arial"/>
                <w:sz w:val="24"/>
                <w:szCs w:val="24"/>
              </w:rPr>
              <w:t>6</w:t>
            </w:r>
          </w:p>
        </w:tc>
        <w:tc>
          <w:tcPr>
            <w:tcW w:w="6379" w:type="dxa"/>
          </w:tcPr>
          <w:p w14:paraId="4BD0490E" w14:textId="77777777" w:rsidR="00D51122" w:rsidRPr="00542261" w:rsidRDefault="00D51122" w:rsidP="00921903">
            <w:pPr>
              <w:rPr>
                <w:rFonts w:ascii="Arial" w:hAnsi="Arial" w:cs="Arial"/>
                <w:sz w:val="24"/>
                <w:szCs w:val="24"/>
              </w:rPr>
            </w:pPr>
            <w:r w:rsidRPr="00542261">
              <w:rPr>
                <w:rFonts w:ascii="Arial" w:hAnsi="Arial" w:cs="Arial"/>
                <w:sz w:val="24"/>
                <w:szCs w:val="24"/>
              </w:rPr>
              <w:t>All senior recruitment campaigns to aim for balanced shortlists.</w:t>
            </w:r>
          </w:p>
        </w:tc>
        <w:tc>
          <w:tcPr>
            <w:tcW w:w="2075" w:type="dxa"/>
          </w:tcPr>
          <w:p w14:paraId="108F76F4" w14:textId="77777777" w:rsidR="00D51122" w:rsidRPr="00542261" w:rsidRDefault="00D51122" w:rsidP="00921903">
            <w:pPr>
              <w:rPr>
                <w:rFonts w:ascii="Arial" w:hAnsi="Arial" w:cs="Arial"/>
                <w:sz w:val="24"/>
                <w:szCs w:val="24"/>
              </w:rPr>
            </w:pPr>
            <w:r w:rsidRPr="005015E6">
              <w:rPr>
                <w:rFonts w:ascii="Arial" w:hAnsi="Arial" w:cs="Arial"/>
                <w:sz w:val="24"/>
                <w:szCs w:val="24"/>
              </w:rPr>
              <w:t>Ongoing</w:t>
            </w:r>
          </w:p>
        </w:tc>
      </w:tr>
      <w:tr w:rsidR="00D51122" w:rsidRPr="00F20DA6" w14:paraId="0822A899" w14:textId="77777777" w:rsidTr="00921903">
        <w:trPr>
          <w:jc w:val="center"/>
        </w:trPr>
        <w:tc>
          <w:tcPr>
            <w:tcW w:w="9016" w:type="dxa"/>
            <w:gridSpan w:val="3"/>
            <w:shd w:val="clear" w:color="auto" w:fill="4472C4" w:themeFill="accent5"/>
          </w:tcPr>
          <w:p w14:paraId="43434E61" w14:textId="77777777" w:rsidR="00D51122" w:rsidRPr="00F20DA6" w:rsidRDefault="00D51122" w:rsidP="00921903">
            <w:pPr>
              <w:rPr>
                <w:rFonts w:ascii="Arial" w:hAnsi="Arial" w:cs="Arial"/>
                <w:b/>
                <w:bCs/>
                <w:color w:val="FFFFFF" w:themeColor="background1"/>
                <w:sz w:val="24"/>
                <w:szCs w:val="24"/>
              </w:rPr>
            </w:pPr>
            <w:bookmarkStart w:id="3" w:name="_Hlk105755459"/>
            <w:r w:rsidRPr="00F20DA6">
              <w:rPr>
                <w:rFonts w:ascii="Arial" w:hAnsi="Arial" w:cs="Arial"/>
                <w:b/>
                <w:bCs/>
                <w:color w:val="FFFFFF" w:themeColor="background1"/>
                <w:sz w:val="24"/>
                <w:szCs w:val="24"/>
              </w:rPr>
              <w:t>Workforce Transparency</w:t>
            </w:r>
          </w:p>
        </w:tc>
      </w:tr>
      <w:bookmarkEnd w:id="3"/>
      <w:tr w:rsidR="00D51122" w:rsidRPr="00542261" w14:paraId="176B5EDA" w14:textId="77777777" w:rsidTr="00921903">
        <w:trPr>
          <w:jc w:val="center"/>
        </w:trPr>
        <w:tc>
          <w:tcPr>
            <w:tcW w:w="562" w:type="dxa"/>
          </w:tcPr>
          <w:p w14:paraId="34AAA264" w14:textId="77777777" w:rsidR="00D51122" w:rsidRPr="00542261" w:rsidRDefault="00D51122" w:rsidP="00921903">
            <w:pPr>
              <w:rPr>
                <w:rFonts w:ascii="Arial" w:hAnsi="Arial" w:cs="Arial"/>
                <w:sz w:val="24"/>
                <w:szCs w:val="24"/>
              </w:rPr>
            </w:pPr>
            <w:r w:rsidRPr="00542261">
              <w:rPr>
                <w:rFonts w:ascii="Arial" w:hAnsi="Arial" w:cs="Arial"/>
                <w:sz w:val="24"/>
                <w:szCs w:val="24"/>
              </w:rPr>
              <w:t>1</w:t>
            </w:r>
            <w:r>
              <w:rPr>
                <w:rFonts w:ascii="Arial" w:hAnsi="Arial" w:cs="Arial"/>
                <w:sz w:val="24"/>
                <w:szCs w:val="24"/>
              </w:rPr>
              <w:t>7</w:t>
            </w:r>
          </w:p>
        </w:tc>
        <w:tc>
          <w:tcPr>
            <w:tcW w:w="6379" w:type="dxa"/>
          </w:tcPr>
          <w:p w14:paraId="1124A1A2" w14:textId="77777777" w:rsidR="00D51122" w:rsidRPr="00542261" w:rsidRDefault="00D51122" w:rsidP="00921903">
            <w:pPr>
              <w:rPr>
                <w:rFonts w:ascii="Arial" w:hAnsi="Arial" w:cs="Arial"/>
                <w:sz w:val="24"/>
                <w:szCs w:val="24"/>
              </w:rPr>
            </w:pPr>
            <w:r w:rsidRPr="00542261">
              <w:rPr>
                <w:rFonts w:ascii="Arial" w:hAnsi="Arial" w:cs="Arial"/>
                <w:sz w:val="24"/>
                <w:szCs w:val="24"/>
              </w:rPr>
              <w:t>Review our HR policies and their application in line with best practice to ensure consistency – prioritising those that are likely to impact most - so that all staff (including women) are not disadvantaged in recruitment, selection career progression and reward. Develop performance measures to evaluate the effect of this work.</w:t>
            </w:r>
          </w:p>
        </w:tc>
        <w:tc>
          <w:tcPr>
            <w:tcW w:w="2075" w:type="dxa"/>
          </w:tcPr>
          <w:p w14:paraId="45598C62" w14:textId="77777777" w:rsidR="00D51122" w:rsidRPr="00542261" w:rsidRDefault="00D51122" w:rsidP="00921903">
            <w:pPr>
              <w:rPr>
                <w:rFonts w:ascii="Arial" w:hAnsi="Arial" w:cs="Arial"/>
                <w:sz w:val="24"/>
                <w:szCs w:val="24"/>
              </w:rPr>
            </w:pPr>
            <w:r w:rsidRPr="00542261">
              <w:rPr>
                <w:rFonts w:ascii="Arial" w:hAnsi="Arial" w:cs="Arial"/>
                <w:sz w:val="24"/>
                <w:szCs w:val="24"/>
              </w:rPr>
              <w:t>On-going</w:t>
            </w:r>
          </w:p>
        </w:tc>
      </w:tr>
      <w:tr w:rsidR="00D51122" w:rsidRPr="00F20DA6" w14:paraId="7F263937" w14:textId="77777777" w:rsidTr="00921903">
        <w:trPr>
          <w:jc w:val="center"/>
        </w:trPr>
        <w:tc>
          <w:tcPr>
            <w:tcW w:w="9016" w:type="dxa"/>
            <w:gridSpan w:val="3"/>
            <w:shd w:val="clear" w:color="auto" w:fill="4472C4" w:themeFill="accent5"/>
          </w:tcPr>
          <w:p w14:paraId="0D227D1B" w14:textId="77777777" w:rsidR="00D51122" w:rsidRPr="00F20DA6" w:rsidRDefault="00D51122" w:rsidP="00921903">
            <w:pPr>
              <w:rPr>
                <w:rFonts w:ascii="Arial" w:hAnsi="Arial" w:cs="Arial"/>
                <w:b/>
                <w:bCs/>
                <w:color w:val="FFFFFF" w:themeColor="background1"/>
                <w:sz w:val="24"/>
                <w:szCs w:val="24"/>
              </w:rPr>
            </w:pPr>
            <w:r w:rsidRPr="00F20DA6">
              <w:rPr>
                <w:rFonts w:ascii="Arial" w:hAnsi="Arial" w:cs="Arial"/>
                <w:b/>
                <w:bCs/>
                <w:color w:val="FFFFFF" w:themeColor="background1"/>
                <w:sz w:val="24"/>
                <w:szCs w:val="24"/>
              </w:rPr>
              <w:t>Recruitment</w:t>
            </w:r>
          </w:p>
        </w:tc>
      </w:tr>
      <w:tr w:rsidR="00D51122" w:rsidRPr="00542261" w14:paraId="28519290" w14:textId="77777777" w:rsidTr="00921903">
        <w:trPr>
          <w:jc w:val="center"/>
        </w:trPr>
        <w:tc>
          <w:tcPr>
            <w:tcW w:w="562" w:type="dxa"/>
          </w:tcPr>
          <w:p w14:paraId="786DECF6" w14:textId="77777777" w:rsidR="00D51122" w:rsidRPr="00542261" w:rsidRDefault="00D51122" w:rsidP="00921903">
            <w:pPr>
              <w:rPr>
                <w:rFonts w:ascii="Arial" w:hAnsi="Arial" w:cs="Arial"/>
                <w:sz w:val="24"/>
                <w:szCs w:val="24"/>
              </w:rPr>
            </w:pPr>
            <w:r>
              <w:rPr>
                <w:rFonts w:ascii="Arial" w:hAnsi="Arial" w:cs="Arial"/>
                <w:sz w:val="24"/>
                <w:szCs w:val="24"/>
              </w:rPr>
              <w:t>18</w:t>
            </w:r>
          </w:p>
        </w:tc>
        <w:tc>
          <w:tcPr>
            <w:tcW w:w="6379" w:type="dxa"/>
          </w:tcPr>
          <w:p w14:paraId="2C288E7B" w14:textId="77777777" w:rsidR="00D51122" w:rsidRPr="00014EC1" w:rsidRDefault="00D51122" w:rsidP="00921903">
            <w:pPr>
              <w:rPr>
                <w:rFonts w:ascii="Arial" w:hAnsi="Arial" w:cs="Arial"/>
                <w:sz w:val="24"/>
                <w:szCs w:val="24"/>
              </w:rPr>
            </w:pPr>
            <w:r w:rsidRPr="00014EC1">
              <w:rPr>
                <w:rFonts w:ascii="Arial" w:hAnsi="Arial" w:cs="Arial"/>
                <w:sz w:val="24"/>
                <w:szCs w:val="24"/>
              </w:rPr>
              <w:t>Maximise an employer to prospective employees</w:t>
            </w:r>
            <w:r>
              <w:rPr>
                <w:rFonts w:ascii="Arial" w:hAnsi="Arial" w:cs="Arial"/>
                <w:sz w:val="24"/>
                <w:szCs w:val="24"/>
              </w:rPr>
              <w:t xml:space="preserve"> our values</w:t>
            </w:r>
            <w:r w:rsidRPr="00014EC1">
              <w:rPr>
                <w:rFonts w:ascii="Arial" w:hAnsi="Arial" w:cs="Arial"/>
                <w:sz w:val="24"/>
                <w:szCs w:val="24"/>
              </w:rPr>
              <w:t xml:space="preserve"> to attract more external women applicants from a range of backgrounds for jobs in particular at senior level in order to create a diverse workforce.</w:t>
            </w:r>
          </w:p>
        </w:tc>
        <w:tc>
          <w:tcPr>
            <w:tcW w:w="2075" w:type="dxa"/>
          </w:tcPr>
          <w:p w14:paraId="2AEEDAED" w14:textId="77777777" w:rsidR="00D51122" w:rsidRPr="00542261" w:rsidRDefault="00D51122" w:rsidP="00921903">
            <w:pPr>
              <w:rPr>
                <w:rFonts w:ascii="Arial" w:hAnsi="Arial" w:cs="Arial"/>
                <w:sz w:val="24"/>
                <w:szCs w:val="24"/>
              </w:rPr>
            </w:pPr>
            <w:r w:rsidRPr="005015E6">
              <w:rPr>
                <w:rFonts w:ascii="Arial" w:hAnsi="Arial" w:cs="Arial"/>
                <w:sz w:val="24"/>
                <w:szCs w:val="24"/>
              </w:rPr>
              <w:t>Ongoing</w:t>
            </w:r>
          </w:p>
        </w:tc>
      </w:tr>
      <w:tr w:rsidR="00D51122" w:rsidRPr="00542261" w14:paraId="39D1D38D" w14:textId="77777777" w:rsidTr="00921903">
        <w:trPr>
          <w:jc w:val="center"/>
        </w:trPr>
        <w:tc>
          <w:tcPr>
            <w:tcW w:w="562" w:type="dxa"/>
          </w:tcPr>
          <w:p w14:paraId="5C705755" w14:textId="77777777" w:rsidR="00D51122" w:rsidRPr="00542261" w:rsidRDefault="00D51122" w:rsidP="00921903">
            <w:pPr>
              <w:rPr>
                <w:rFonts w:ascii="Arial" w:hAnsi="Arial" w:cs="Arial"/>
                <w:sz w:val="24"/>
                <w:szCs w:val="24"/>
              </w:rPr>
            </w:pPr>
            <w:r>
              <w:rPr>
                <w:rFonts w:ascii="Arial" w:hAnsi="Arial" w:cs="Arial"/>
                <w:sz w:val="24"/>
                <w:szCs w:val="24"/>
              </w:rPr>
              <w:t>19</w:t>
            </w:r>
          </w:p>
        </w:tc>
        <w:tc>
          <w:tcPr>
            <w:tcW w:w="6379" w:type="dxa"/>
          </w:tcPr>
          <w:p w14:paraId="5CD33A7C" w14:textId="77777777" w:rsidR="00D51122" w:rsidRPr="007A0ABA" w:rsidRDefault="00D51122" w:rsidP="00921903">
            <w:pPr>
              <w:rPr>
                <w:rFonts w:ascii="Arial" w:hAnsi="Arial" w:cs="Arial"/>
                <w:sz w:val="24"/>
                <w:szCs w:val="24"/>
              </w:rPr>
            </w:pPr>
            <w:r w:rsidRPr="007A0ABA">
              <w:rPr>
                <w:rFonts w:ascii="Arial" w:hAnsi="Arial" w:cs="Arial"/>
                <w:sz w:val="24"/>
                <w:szCs w:val="24"/>
              </w:rPr>
              <w:t>Continue to improve capability in flexible job design and building flexible career pathways.</w:t>
            </w:r>
          </w:p>
        </w:tc>
        <w:tc>
          <w:tcPr>
            <w:tcW w:w="2075" w:type="dxa"/>
          </w:tcPr>
          <w:p w14:paraId="2E778263" w14:textId="77777777" w:rsidR="00D51122" w:rsidRPr="00542261" w:rsidRDefault="00D51122" w:rsidP="00921903">
            <w:pPr>
              <w:rPr>
                <w:rFonts w:ascii="Arial" w:hAnsi="Arial" w:cs="Arial"/>
                <w:sz w:val="24"/>
                <w:szCs w:val="24"/>
              </w:rPr>
            </w:pPr>
            <w:r w:rsidRPr="005015E6">
              <w:rPr>
                <w:rFonts w:ascii="Arial" w:hAnsi="Arial" w:cs="Arial"/>
                <w:sz w:val="24"/>
                <w:szCs w:val="24"/>
              </w:rPr>
              <w:t>Ongoing</w:t>
            </w:r>
          </w:p>
        </w:tc>
      </w:tr>
      <w:tr w:rsidR="00D51122" w:rsidRPr="00542261" w14:paraId="09EC354A" w14:textId="77777777" w:rsidTr="00921903">
        <w:trPr>
          <w:jc w:val="center"/>
        </w:trPr>
        <w:tc>
          <w:tcPr>
            <w:tcW w:w="562" w:type="dxa"/>
          </w:tcPr>
          <w:p w14:paraId="41AD9BEB" w14:textId="77777777" w:rsidR="00D51122" w:rsidRDefault="00D51122" w:rsidP="00921903">
            <w:pPr>
              <w:rPr>
                <w:rFonts w:ascii="Arial" w:hAnsi="Arial" w:cs="Arial"/>
                <w:sz w:val="24"/>
                <w:szCs w:val="24"/>
              </w:rPr>
            </w:pPr>
            <w:r>
              <w:rPr>
                <w:rFonts w:ascii="Arial" w:hAnsi="Arial" w:cs="Arial"/>
                <w:sz w:val="24"/>
                <w:szCs w:val="24"/>
              </w:rPr>
              <w:t>20</w:t>
            </w:r>
          </w:p>
        </w:tc>
        <w:tc>
          <w:tcPr>
            <w:tcW w:w="6379" w:type="dxa"/>
          </w:tcPr>
          <w:p w14:paraId="3C435C17" w14:textId="77777777" w:rsidR="00D51122" w:rsidRPr="007A0ABA" w:rsidRDefault="00D51122" w:rsidP="00921903">
            <w:pPr>
              <w:rPr>
                <w:rFonts w:ascii="Arial" w:hAnsi="Arial" w:cs="Arial"/>
                <w:sz w:val="24"/>
                <w:szCs w:val="24"/>
              </w:rPr>
            </w:pPr>
            <w:r w:rsidRPr="00C64C8B">
              <w:rPr>
                <w:rFonts w:ascii="Arial" w:hAnsi="Arial" w:cs="Arial"/>
                <w:sz w:val="24"/>
                <w:szCs w:val="24"/>
              </w:rPr>
              <w:t>Encourage and monitor take-up of mandatory Diversity and Inclusion training</w:t>
            </w:r>
          </w:p>
        </w:tc>
        <w:tc>
          <w:tcPr>
            <w:tcW w:w="2075" w:type="dxa"/>
          </w:tcPr>
          <w:p w14:paraId="7F30B066" w14:textId="77777777" w:rsidR="00D51122" w:rsidRPr="005015E6" w:rsidRDefault="00D51122" w:rsidP="00921903">
            <w:pPr>
              <w:rPr>
                <w:rFonts w:ascii="Arial" w:hAnsi="Arial" w:cs="Arial"/>
                <w:sz w:val="24"/>
                <w:szCs w:val="24"/>
              </w:rPr>
            </w:pPr>
            <w:r>
              <w:rPr>
                <w:rFonts w:ascii="Arial" w:hAnsi="Arial" w:cs="Arial"/>
                <w:sz w:val="24"/>
                <w:szCs w:val="24"/>
              </w:rPr>
              <w:t>Ongoing</w:t>
            </w:r>
          </w:p>
        </w:tc>
      </w:tr>
      <w:tr w:rsidR="00D51122" w:rsidRPr="00F20DA6" w14:paraId="34430F3B" w14:textId="77777777" w:rsidTr="00921903">
        <w:trPr>
          <w:jc w:val="center"/>
        </w:trPr>
        <w:tc>
          <w:tcPr>
            <w:tcW w:w="9016" w:type="dxa"/>
            <w:gridSpan w:val="3"/>
            <w:shd w:val="clear" w:color="auto" w:fill="4472C4" w:themeFill="accent5"/>
          </w:tcPr>
          <w:p w14:paraId="45C511A7" w14:textId="77777777" w:rsidR="00D51122" w:rsidRPr="00F20DA6" w:rsidRDefault="00D51122" w:rsidP="00921903">
            <w:pPr>
              <w:rPr>
                <w:rFonts w:ascii="Arial" w:hAnsi="Arial" w:cs="Arial"/>
                <w:b/>
                <w:bCs/>
                <w:color w:val="FFFFFF" w:themeColor="background1"/>
                <w:sz w:val="24"/>
                <w:szCs w:val="24"/>
              </w:rPr>
            </w:pPr>
            <w:r>
              <w:rPr>
                <w:rFonts w:ascii="Arial" w:hAnsi="Arial" w:cs="Arial"/>
                <w:b/>
                <w:bCs/>
                <w:color w:val="FFFFFF" w:themeColor="background1"/>
                <w:sz w:val="24"/>
                <w:szCs w:val="24"/>
              </w:rPr>
              <w:t>Encourage the uptake of Shared Parental Leave</w:t>
            </w:r>
          </w:p>
        </w:tc>
      </w:tr>
      <w:tr w:rsidR="00D51122" w:rsidRPr="00542261" w14:paraId="6E6D026C" w14:textId="77777777" w:rsidTr="00921903">
        <w:trPr>
          <w:jc w:val="center"/>
        </w:trPr>
        <w:tc>
          <w:tcPr>
            <w:tcW w:w="562" w:type="dxa"/>
          </w:tcPr>
          <w:p w14:paraId="0BAC22ED" w14:textId="77777777" w:rsidR="00D51122" w:rsidRDefault="00D51122" w:rsidP="00921903">
            <w:pPr>
              <w:rPr>
                <w:rFonts w:ascii="Arial" w:hAnsi="Arial" w:cs="Arial"/>
                <w:sz w:val="24"/>
                <w:szCs w:val="24"/>
              </w:rPr>
            </w:pPr>
            <w:r>
              <w:rPr>
                <w:rFonts w:ascii="Arial" w:hAnsi="Arial" w:cs="Arial"/>
                <w:sz w:val="24"/>
                <w:szCs w:val="24"/>
              </w:rPr>
              <w:t>21</w:t>
            </w:r>
          </w:p>
        </w:tc>
        <w:tc>
          <w:tcPr>
            <w:tcW w:w="6379" w:type="dxa"/>
          </w:tcPr>
          <w:p w14:paraId="65C4A56D" w14:textId="77777777" w:rsidR="00D51122" w:rsidRPr="00B3331C" w:rsidRDefault="00D51122" w:rsidP="00921903">
            <w:pPr>
              <w:pStyle w:val="ListParagraph"/>
              <w:numPr>
                <w:ilvl w:val="0"/>
                <w:numId w:val="19"/>
              </w:numPr>
              <w:spacing w:before="100"/>
              <w:rPr>
                <w:rFonts w:ascii="Arial" w:hAnsi="Arial" w:cs="Arial"/>
                <w:sz w:val="24"/>
                <w:szCs w:val="24"/>
              </w:rPr>
            </w:pPr>
            <w:r w:rsidRPr="00B3331C">
              <w:rPr>
                <w:rFonts w:ascii="Arial" w:hAnsi="Arial" w:cs="Arial"/>
                <w:sz w:val="24"/>
                <w:szCs w:val="24"/>
              </w:rPr>
              <w:t>Offer enhanced Shared Parental Pay at the same level as enhanced maternity pay</w:t>
            </w:r>
          </w:p>
          <w:p w14:paraId="440B43CE" w14:textId="1B6FF22D" w:rsidR="00D51122" w:rsidRPr="00B3331C" w:rsidRDefault="00D51122" w:rsidP="00921903">
            <w:pPr>
              <w:pStyle w:val="ListParagraph"/>
              <w:numPr>
                <w:ilvl w:val="0"/>
                <w:numId w:val="19"/>
              </w:numPr>
              <w:spacing w:before="100"/>
              <w:rPr>
                <w:rFonts w:ascii="Arial" w:hAnsi="Arial" w:cs="Arial"/>
                <w:sz w:val="24"/>
                <w:szCs w:val="24"/>
              </w:rPr>
            </w:pPr>
            <w:r w:rsidRPr="00B3331C">
              <w:rPr>
                <w:rFonts w:ascii="Arial" w:hAnsi="Arial" w:cs="Arial"/>
                <w:sz w:val="24"/>
                <w:szCs w:val="24"/>
              </w:rPr>
              <w:t>Encourage take up of Shared Parental Leave</w:t>
            </w:r>
          </w:p>
          <w:p w14:paraId="7F34FD50" w14:textId="77777777" w:rsidR="00D51122" w:rsidRPr="00B3331C" w:rsidRDefault="00D51122" w:rsidP="00921903">
            <w:pPr>
              <w:pStyle w:val="ListParagraph"/>
              <w:numPr>
                <w:ilvl w:val="0"/>
                <w:numId w:val="19"/>
              </w:numPr>
              <w:spacing w:before="100"/>
              <w:rPr>
                <w:rFonts w:ascii="Arial" w:hAnsi="Arial" w:cs="Arial"/>
                <w:sz w:val="24"/>
                <w:szCs w:val="24"/>
              </w:rPr>
            </w:pPr>
            <w:r w:rsidRPr="00B3331C">
              <w:rPr>
                <w:rFonts w:ascii="Arial" w:hAnsi="Arial" w:cs="Arial"/>
                <w:sz w:val="24"/>
                <w:szCs w:val="24"/>
              </w:rPr>
              <w:t>For example: - Inform future fathers that it’s their legal right to request Shared Parental Leave</w:t>
            </w:r>
          </w:p>
          <w:p w14:paraId="2EE6F135" w14:textId="77777777" w:rsidR="00D51122" w:rsidRPr="00B3331C" w:rsidRDefault="00D51122" w:rsidP="00921903">
            <w:pPr>
              <w:pStyle w:val="ListParagraph"/>
              <w:numPr>
                <w:ilvl w:val="0"/>
                <w:numId w:val="19"/>
              </w:numPr>
              <w:spacing w:before="100"/>
              <w:rPr>
                <w:rFonts w:ascii="Arial" w:hAnsi="Arial" w:cs="Arial"/>
                <w:sz w:val="24"/>
                <w:szCs w:val="24"/>
              </w:rPr>
            </w:pPr>
            <w:r w:rsidRPr="00B3331C">
              <w:rPr>
                <w:rFonts w:ascii="Arial" w:hAnsi="Arial" w:cs="Arial"/>
                <w:sz w:val="24"/>
                <w:szCs w:val="24"/>
              </w:rPr>
              <w:t>Provide future parents guidance and personal support to understand the scheme</w:t>
            </w:r>
          </w:p>
          <w:p w14:paraId="6CC03D91" w14:textId="77777777" w:rsidR="00D51122" w:rsidRPr="00B3331C" w:rsidRDefault="00D51122" w:rsidP="00921903">
            <w:pPr>
              <w:pStyle w:val="ListParagraph"/>
              <w:numPr>
                <w:ilvl w:val="0"/>
                <w:numId w:val="19"/>
              </w:numPr>
              <w:spacing w:before="100"/>
              <w:rPr>
                <w:rFonts w:ascii="Arial" w:hAnsi="Arial" w:cs="Arial"/>
                <w:sz w:val="24"/>
                <w:szCs w:val="24"/>
              </w:rPr>
            </w:pPr>
            <w:r w:rsidRPr="00B3331C">
              <w:rPr>
                <w:rFonts w:ascii="Arial" w:hAnsi="Arial" w:cs="Arial"/>
                <w:sz w:val="24"/>
                <w:szCs w:val="24"/>
              </w:rPr>
              <w:t xml:space="preserve">Share and promote examples of </w:t>
            </w:r>
            <w:r>
              <w:rPr>
                <w:rFonts w:ascii="Arial" w:hAnsi="Arial" w:cs="Arial"/>
                <w:sz w:val="24"/>
                <w:szCs w:val="24"/>
              </w:rPr>
              <w:t>staff</w:t>
            </w:r>
            <w:r w:rsidRPr="00B3331C">
              <w:rPr>
                <w:rFonts w:ascii="Arial" w:hAnsi="Arial" w:cs="Arial"/>
                <w:sz w:val="24"/>
                <w:szCs w:val="24"/>
              </w:rPr>
              <w:t xml:space="preserve"> who have taken Shared Parental Leave in </w:t>
            </w:r>
            <w:r>
              <w:rPr>
                <w:rFonts w:ascii="Arial" w:hAnsi="Arial" w:cs="Arial"/>
                <w:sz w:val="24"/>
                <w:szCs w:val="24"/>
              </w:rPr>
              <w:t>the Council</w:t>
            </w:r>
          </w:p>
        </w:tc>
        <w:tc>
          <w:tcPr>
            <w:tcW w:w="2075" w:type="dxa"/>
          </w:tcPr>
          <w:p w14:paraId="2606D02D" w14:textId="30AA5C46" w:rsidR="00D51122" w:rsidRPr="005015E6" w:rsidRDefault="00D51122" w:rsidP="00921903">
            <w:pPr>
              <w:rPr>
                <w:rFonts w:ascii="Arial" w:hAnsi="Arial" w:cs="Arial"/>
                <w:sz w:val="24"/>
                <w:szCs w:val="24"/>
              </w:rPr>
            </w:pPr>
            <w:r>
              <w:rPr>
                <w:rFonts w:ascii="Arial" w:hAnsi="Arial" w:cs="Arial"/>
                <w:sz w:val="24"/>
                <w:szCs w:val="24"/>
              </w:rPr>
              <w:t>In progress</w:t>
            </w:r>
          </w:p>
        </w:tc>
      </w:tr>
      <w:tr w:rsidR="00D51122" w:rsidRPr="00F20DA6" w14:paraId="716411D0" w14:textId="77777777" w:rsidTr="00921903">
        <w:trPr>
          <w:jc w:val="center"/>
        </w:trPr>
        <w:tc>
          <w:tcPr>
            <w:tcW w:w="9016" w:type="dxa"/>
            <w:gridSpan w:val="3"/>
            <w:shd w:val="clear" w:color="auto" w:fill="4472C4" w:themeFill="accent5"/>
          </w:tcPr>
          <w:p w14:paraId="6702CC4A" w14:textId="77777777" w:rsidR="00D51122" w:rsidRPr="00F20DA6" w:rsidRDefault="00D51122" w:rsidP="00921903">
            <w:pPr>
              <w:rPr>
                <w:rFonts w:ascii="Arial" w:hAnsi="Arial" w:cs="Arial"/>
                <w:b/>
                <w:bCs/>
                <w:color w:val="FFFFFF" w:themeColor="background1"/>
                <w:sz w:val="24"/>
                <w:szCs w:val="24"/>
              </w:rPr>
            </w:pPr>
            <w:r>
              <w:rPr>
                <w:rFonts w:ascii="Arial" w:hAnsi="Arial" w:cs="Arial"/>
                <w:b/>
                <w:bCs/>
                <w:color w:val="FFFFFF" w:themeColor="background1"/>
                <w:sz w:val="24"/>
                <w:szCs w:val="24"/>
              </w:rPr>
              <w:t>Recruit Returners</w:t>
            </w:r>
          </w:p>
        </w:tc>
      </w:tr>
      <w:tr w:rsidR="00D51122" w:rsidRPr="00542261" w14:paraId="6ADA6755" w14:textId="77777777" w:rsidTr="00921903">
        <w:trPr>
          <w:jc w:val="center"/>
        </w:trPr>
        <w:tc>
          <w:tcPr>
            <w:tcW w:w="562" w:type="dxa"/>
          </w:tcPr>
          <w:p w14:paraId="270C5E16" w14:textId="77777777" w:rsidR="00D51122" w:rsidRDefault="00D51122" w:rsidP="00921903">
            <w:pPr>
              <w:rPr>
                <w:rFonts w:ascii="Arial" w:hAnsi="Arial" w:cs="Arial"/>
                <w:sz w:val="24"/>
                <w:szCs w:val="24"/>
              </w:rPr>
            </w:pPr>
            <w:r>
              <w:rPr>
                <w:rFonts w:ascii="Arial" w:hAnsi="Arial" w:cs="Arial"/>
                <w:sz w:val="24"/>
                <w:szCs w:val="24"/>
              </w:rPr>
              <w:t>22</w:t>
            </w:r>
          </w:p>
        </w:tc>
        <w:tc>
          <w:tcPr>
            <w:tcW w:w="6379" w:type="dxa"/>
          </w:tcPr>
          <w:p w14:paraId="20823FD8" w14:textId="77777777" w:rsidR="00D51122" w:rsidRPr="00DA3911" w:rsidRDefault="00D51122" w:rsidP="00921903">
            <w:pPr>
              <w:rPr>
                <w:rFonts w:ascii="Arial" w:hAnsi="Arial" w:cs="Arial"/>
                <w:sz w:val="24"/>
                <w:szCs w:val="24"/>
              </w:rPr>
            </w:pPr>
            <w:r w:rsidRPr="00DA3911">
              <w:rPr>
                <w:rFonts w:ascii="Arial" w:hAnsi="Arial" w:cs="Arial"/>
                <w:sz w:val="24"/>
                <w:szCs w:val="24"/>
              </w:rPr>
              <w:t>Returners are people who have taken an extended career break for caring or other reasons and who are either not currently employed or are working in roles for which they are over-qualified.</w:t>
            </w:r>
          </w:p>
          <w:p w14:paraId="3FD810BE" w14:textId="12A2BE8D" w:rsidR="00D51122" w:rsidRPr="00DA3911" w:rsidRDefault="00D51122" w:rsidP="00921903">
            <w:pPr>
              <w:rPr>
                <w:rFonts w:ascii="Arial" w:hAnsi="Arial" w:cs="Arial"/>
                <w:sz w:val="24"/>
                <w:szCs w:val="24"/>
              </w:rPr>
            </w:pPr>
            <w:r w:rsidRPr="00DA3911">
              <w:rPr>
                <w:rFonts w:ascii="Arial" w:hAnsi="Arial" w:cs="Arial"/>
                <w:sz w:val="24"/>
                <w:szCs w:val="24"/>
              </w:rPr>
              <w:t>For example:</w:t>
            </w:r>
          </w:p>
          <w:p w14:paraId="5F07299B" w14:textId="77777777" w:rsidR="00D51122" w:rsidRPr="00DA3911" w:rsidRDefault="00D51122" w:rsidP="00921903">
            <w:pPr>
              <w:pStyle w:val="ListParagraph"/>
              <w:numPr>
                <w:ilvl w:val="0"/>
                <w:numId w:val="20"/>
              </w:numPr>
              <w:spacing w:before="100"/>
              <w:rPr>
                <w:rFonts w:ascii="Arial" w:hAnsi="Arial" w:cs="Arial"/>
                <w:sz w:val="24"/>
                <w:szCs w:val="24"/>
              </w:rPr>
            </w:pPr>
            <w:r w:rsidRPr="00DA3911">
              <w:rPr>
                <w:rFonts w:ascii="Arial" w:hAnsi="Arial" w:cs="Arial"/>
                <w:sz w:val="24"/>
                <w:szCs w:val="24"/>
              </w:rPr>
              <w:t>Target places where returners are likely to be looking</w:t>
            </w:r>
          </w:p>
          <w:p w14:paraId="30D3FE52" w14:textId="77777777" w:rsidR="00D51122" w:rsidRPr="00DA3911" w:rsidRDefault="00D51122" w:rsidP="00921903">
            <w:pPr>
              <w:pStyle w:val="ListParagraph"/>
              <w:numPr>
                <w:ilvl w:val="0"/>
                <w:numId w:val="20"/>
              </w:numPr>
              <w:spacing w:before="100"/>
              <w:rPr>
                <w:rFonts w:ascii="Arial" w:hAnsi="Arial" w:cs="Arial"/>
                <w:sz w:val="24"/>
                <w:szCs w:val="24"/>
              </w:rPr>
            </w:pPr>
            <w:r w:rsidRPr="00DA3911">
              <w:rPr>
                <w:rFonts w:ascii="Arial" w:hAnsi="Arial" w:cs="Arial"/>
                <w:sz w:val="24"/>
                <w:szCs w:val="24"/>
              </w:rPr>
              <w:t>Ensure the recruitment process is returner-friendly</w:t>
            </w:r>
          </w:p>
          <w:p w14:paraId="4FD04F8D" w14:textId="77777777" w:rsidR="00D51122" w:rsidRPr="00DA3911" w:rsidRDefault="00D51122" w:rsidP="00921903">
            <w:pPr>
              <w:pStyle w:val="ListParagraph"/>
              <w:numPr>
                <w:ilvl w:val="0"/>
                <w:numId w:val="20"/>
              </w:numPr>
              <w:spacing w:before="100"/>
              <w:rPr>
                <w:rFonts w:ascii="Arial" w:hAnsi="Arial" w:cs="Arial"/>
                <w:sz w:val="24"/>
                <w:szCs w:val="24"/>
              </w:rPr>
            </w:pPr>
            <w:r w:rsidRPr="00DA3911">
              <w:rPr>
                <w:rFonts w:ascii="Arial" w:hAnsi="Arial" w:cs="Arial"/>
                <w:sz w:val="24"/>
                <w:szCs w:val="24"/>
              </w:rPr>
              <w:t>Offer support before and during the assessment</w:t>
            </w:r>
          </w:p>
        </w:tc>
        <w:tc>
          <w:tcPr>
            <w:tcW w:w="2075" w:type="dxa"/>
          </w:tcPr>
          <w:p w14:paraId="0588C42B" w14:textId="77777777" w:rsidR="00D51122" w:rsidRPr="005015E6" w:rsidRDefault="00D51122" w:rsidP="00921903">
            <w:pPr>
              <w:rPr>
                <w:rFonts w:ascii="Arial" w:hAnsi="Arial" w:cs="Arial"/>
                <w:sz w:val="24"/>
                <w:szCs w:val="24"/>
              </w:rPr>
            </w:pPr>
            <w:r>
              <w:rPr>
                <w:rFonts w:ascii="Arial" w:hAnsi="Arial" w:cs="Arial"/>
                <w:sz w:val="24"/>
                <w:szCs w:val="24"/>
              </w:rPr>
              <w:t>To be reviewed</w:t>
            </w:r>
          </w:p>
        </w:tc>
      </w:tr>
    </w:tbl>
    <w:p w14:paraId="3FD39720" w14:textId="77777777" w:rsidR="0060623C" w:rsidRPr="00842961" w:rsidRDefault="0060623C" w:rsidP="00C32643">
      <w:pPr>
        <w:rPr>
          <w:rFonts w:ascii="Arial" w:hAnsi="Arial" w:cs="Arial"/>
          <w:sz w:val="24"/>
          <w:szCs w:val="24"/>
        </w:rPr>
      </w:pPr>
    </w:p>
    <w:sectPr w:rsidR="0060623C" w:rsidRPr="00842961" w:rsidSect="00A1797B">
      <w:footerReference w:type="default" r:id="rId20"/>
      <w:pgSz w:w="11906" w:h="16838"/>
      <w:pgMar w:top="1276" w:right="1021" w:bottom="73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E1857" w14:textId="77777777" w:rsidR="002C611D" w:rsidRDefault="002C611D" w:rsidP="00865B3A">
      <w:r>
        <w:separator/>
      </w:r>
    </w:p>
  </w:endnote>
  <w:endnote w:type="continuationSeparator" w:id="0">
    <w:p w14:paraId="2BAFE0F8" w14:textId="77777777" w:rsidR="002C611D" w:rsidRDefault="002C611D" w:rsidP="0086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385016"/>
      <w:docPartObj>
        <w:docPartGallery w:val="Page Numbers (Bottom of Page)"/>
        <w:docPartUnique/>
      </w:docPartObj>
    </w:sdtPr>
    <w:sdtEndPr>
      <w:rPr>
        <w:color w:val="7F7F7F" w:themeColor="background1" w:themeShade="7F"/>
        <w:spacing w:val="60"/>
      </w:rPr>
    </w:sdtEndPr>
    <w:sdtContent>
      <w:p w14:paraId="71CA04DD" w14:textId="6E59720E" w:rsidR="00535F28" w:rsidRDefault="00535F28">
        <w:pPr>
          <w:pStyle w:val="Footer"/>
          <w:pBdr>
            <w:top w:val="single" w:sz="4" w:space="1" w:color="D9D9D9" w:themeColor="background1" w:themeShade="D9"/>
          </w:pBdr>
          <w:jc w:val="right"/>
        </w:pPr>
        <w:r>
          <w:fldChar w:fldCharType="begin"/>
        </w:r>
        <w:r>
          <w:instrText xml:space="preserve"> PAGE   \* MERGEFORMAT </w:instrText>
        </w:r>
        <w:r>
          <w:fldChar w:fldCharType="separate"/>
        </w:r>
        <w:r w:rsidR="00C32643">
          <w:rPr>
            <w:noProof/>
          </w:rPr>
          <w:t>6</w:t>
        </w:r>
        <w:r>
          <w:rPr>
            <w:noProof/>
          </w:rPr>
          <w:fldChar w:fldCharType="end"/>
        </w:r>
        <w:r>
          <w:t xml:space="preserve"> | </w:t>
        </w:r>
        <w:r>
          <w:rPr>
            <w:color w:val="7F7F7F" w:themeColor="background1" w:themeShade="7F"/>
            <w:spacing w:val="60"/>
          </w:rPr>
          <w:t>Page</w:t>
        </w:r>
      </w:p>
    </w:sdtContent>
  </w:sdt>
  <w:p w14:paraId="4D0CB898" w14:textId="77777777" w:rsidR="00535F28" w:rsidRDefault="00535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0EEE9" w14:textId="77777777" w:rsidR="002C611D" w:rsidRDefault="002C611D" w:rsidP="00865B3A">
      <w:r>
        <w:separator/>
      </w:r>
    </w:p>
  </w:footnote>
  <w:footnote w:type="continuationSeparator" w:id="0">
    <w:p w14:paraId="4D28536A" w14:textId="77777777" w:rsidR="002C611D" w:rsidRDefault="002C611D" w:rsidP="00865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297C"/>
    <w:multiLevelType w:val="hybridMultilevel"/>
    <w:tmpl w:val="7124F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E068D"/>
    <w:multiLevelType w:val="hybridMultilevel"/>
    <w:tmpl w:val="E55C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E44EC"/>
    <w:multiLevelType w:val="hybridMultilevel"/>
    <w:tmpl w:val="BFA21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54715"/>
    <w:multiLevelType w:val="hybridMultilevel"/>
    <w:tmpl w:val="4ABA3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C7572"/>
    <w:multiLevelType w:val="hybridMultilevel"/>
    <w:tmpl w:val="B9403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409FE"/>
    <w:multiLevelType w:val="hybridMultilevel"/>
    <w:tmpl w:val="17580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6A1751"/>
    <w:multiLevelType w:val="hybridMultilevel"/>
    <w:tmpl w:val="4BC67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B04FBF"/>
    <w:multiLevelType w:val="hybridMultilevel"/>
    <w:tmpl w:val="4E907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3660EE"/>
    <w:multiLevelType w:val="hybridMultilevel"/>
    <w:tmpl w:val="924C0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392351"/>
    <w:multiLevelType w:val="hybridMultilevel"/>
    <w:tmpl w:val="3FCCF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FA2B46"/>
    <w:multiLevelType w:val="hybridMultilevel"/>
    <w:tmpl w:val="26887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5D3CB2"/>
    <w:multiLevelType w:val="hybridMultilevel"/>
    <w:tmpl w:val="70501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AF7B5D"/>
    <w:multiLevelType w:val="hybridMultilevel"/>
    <w:tmpl w:val="CD50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A34DBA"/>
    <w:multiLevelType w:val="hybridMultilevel"/>
    <w:tmpl w:val="45B0E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E7384E"/>
    <w:multiLevelType w:val="hybridMultilevel"/>
    <w:tmpl w:val="918E96D0"/>
    <w:lvl w:ilvl="0" w:tplc="49B2C9A0">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27BCC2E"/>
    <w:multiLevelType w:val="hybridMultilevel"/>
    <w:tmpl w:val="FFFFFFFF"/>
    <w:lvl w:ilvl="0" w:tplc="89EC9E56">
      <w:start w:val="1"/>
      <w:numFmt w:val="bullet"/>
      <w:lvlText w:val=""/>
      <w:lvlJc w:val="left"/>
      <w:pPr>
        <w:ind w:left="720" w:hanging="360"/>
      </w:pPr>
      <w:rPr>
        <w:rFonts w:ascii="Symbol" w:hAnsi="Symbol" w:hint="default"/>
      </w:rPr>
    </w:lvl>
    <w:lvl w:ilvl="1" w:tplc="B9F215D4">
      <w:start w:val="1"/>
      <w:numFmt w:val="bullet"/>
      <w:lvlText w:val="o"/>
      <w:lvlJc w:val="left"/>
      <w:pPr>
        <w:ind w:left="1440" w:hanging="360"/>
      </w:pPr>
      <w:rPr>
        <w:rFonts w:ascii="Courier New" w:hAnsi="Courier New" w:hint="default"/>
      </w:rPr>
    </w:lvl>
    <w:lvl w:ilvl="2" w:tplc="D46E28F4">
      <w:start w:val="1"/>
      <w:numFmt w:val="bullet"/>
      <w:lvlText w:val=""/>
      <w:lvlJc w:val="left"/>
      <w:pPr>
        <w:ind w:left="2160" w:hanging="360"/>
      </w:pPr>
      <w:rPr>
        <w:rFonts w:ascii="Wingdings" w:hAnsi="Wingdings" w:hint="default"/>
      </w:rPr>
    </w:lvl>
    <w:lvl w:ilvl="3" w:tplc="960275A0">
      <w:start w:val="1"/>
      <w:numFmt w:val="bullet"/>
      <w:lvlText w:val=""/>
      <w:lvlJc w:val="left"/>
      <w:pPr>
        <w:ind w:left="2880" w:hanging="360"/>
      </w:pPr>
      <w:rPr>
        <w:rFonts w:ascii="Symbol" w:hAnsi="Symbol" w:hint="default"/>
      </w:rPr>
    </w:lvl>
    <w:lvl w:ilvl="4" w:tplc="042A37E2">
      <w:start w:val="1"/>
      <w:numFmt w:val="bullet"/>
      <w:lvlText w:val="o"/>
      <w:lvlJc w:val="left"/>
      <w:pPr>
        <w:ind w:left="3600" w:hanging="360"/>
      </w:pPr>
      <w:rPr>
        <w:rFonts w:ascii="Courier New" w:hAnsi="Courier New" w:hint="default"/>
      </w:rPr>
    </w:lvl>
    <w:lvl w:ilvl="5" w:tplc="28245902">
      <w:start w:val="1"/>
      <w:numFmt w:val="bullet"/>
      <w:lvlText w:val=""/>
      <w:lvlJc w:val="left"/>
      <w:pPr>
        <w:ind w:left="4320" w:hanging="360"/>
      </w:pPr>
      <w:rPr>
        <w:rFonts w:ascii="Wingdings" w:hAnsi="Wingdings" w:hint="default"/>
      </w:rPr>
    </w:lvl>
    <w:lvl w:ilvl="6" w:tplc="36F0DDBE">
      <w:start w:val="1"/>
      <w:numFmt w:val="bullet"/>
      <w:lvlText w:val=""/>
      <w:lvlJc w:val="left"/>
      <w:pPr>
        <w:ind w:left="5040" w:hanging="360"/>
      </w:pPr>
      <w:rPr>
        <w:rFonts w:ascii="Symbol" w:hAnsi="Symbol" w:hint="default"/>
      </w:rPr>
    </w:lvl>
    <w:lvl w:ilvl="7" w:tplc="3F866D82">
      <w:start w:val="1"/>
      <w:numFmt w:val="bullet"/>
      <w:lvlText w:val="o"/>
      <w:lvlJc w:val="left"/>
      <w:pPr>
        <w:ind w:left="5760" w:hanging="360"/>
      </w:pPr>
      <w:rPr>
        <w:rFonts w:ascii="Courier New" w:hAnsi="Courier New" w:hint="default"/>
      </w:rPr>
    </w:lvl>
    <w:lvl w:ilvl="8" w:tplc="9B84A0E0">
      <w:start w:val="1"/>
      <w:numFmt w:val="bullet"/>
      <w:lvlText w:val=""/>
      <w:lvlJc w:val="left"/>
      <w:pPr>
        <w:ind w:left="6480" w:hanging="360"/>
      </w:pPr>
      <w:rPr>
        <w:rFonts w:ascii="Wingdings" w:hAnsi="Wingdings" w:hint="default"/>
      </w:rPr>
    </w:lvl>
  </w:abstractNum>
  <w:abstractNum w:abstractNumId="16" w15:restartNumberingAfterBreak="0">
    <w:nsid w:val="68111E99"/>
    <w:multiLevelType w:val="hybridMultilevel"/>
    <w:tmpl w:val="F1060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2E09D6"/>
    <w:multiLevelType w:val="hybridMultilevel"/>
    <w:tmpl w:val="77880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13444B"/>
    <w:multiLevelType w:val="hybridMultilevel"/>
    <w:tmpl w:val="C7F20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3B1830"/>
    <w:multiLevelType w:val="hybridMultilevel"/>
    <w:tmpl w:val="5DB68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0"/>
  </w:num>
  <w:num w:numId="4">
    <w:abstractNumId w:val="16"/>
  </w:num>
  <w:num w:numId="5">
    <w:abstractNumId w:val="13"/>
  </w:num>
  <w:num w:numId="6">
    <w:abstractNumId w:val="8"/>
  </w:num>
  <w:num w:numId="7">
    <w:abstractNumId w:val="6"/>
  </w:num>
  <w:num w:numId="8">
    <w:abstractNumId w:val="9"/>
  </w:num>
  <w:num w:numId="9">
    <w:abstractNumId w:val="14"/>
  </w:num>
  <w:num w:numId="10">
    <w:abstractNumId w:val="7"/>
  </w:num>
  <w:num w:numId="11">
    <w:abstractNumId w:val="19"/>
  </w:num>
  <w:num w:numId="12">
    <w:abstractNumId w:val="18"/>
  </w:num>
  <w:num w:numId="13">
    <w:abstractNumId w:val="2"/>
  </w:num>
  <w:num w:numId="14">
    <w:abstractNumId w:val="17"/>
  </w:num>
  <w:num w:numId="15">
    <w:abstractNumId w:val="4"/>
  </w:num>
  <w:num w:numId="16">
    <w:abstractNumId w:val="11"/>
  </w:num>
  <w:num w:numId="17">
    <w:abstractNumId w:val="3"/>
  </w:num>
  <w:num w:numId="18">
    <w:abstractNumId w:val="12"/>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A2C"/>
    <w:rsid w:val="000157B9"/>
    <w:rsid w:val="000162FB"/>
    <w:rsid w:val="00027803"/>
    <w:rsid w:val="00033C56"/>
    <w:rsid w:val="00034D78"/>
    <w:rsid w:val="00035E65"/>
    <w:rsid w:val="00036838"/>
    <w:rsid w:val="00055025"/>
    <w:rsid w:val="00067ABB"/>
    <w:rsid w:val="00077E48"/>
    <w:rsid w:val="00080AE3"/>
    <w:rsid w:val="00083B62"/>
    <w:rsid w:val="000870E7"/>
    <w:rsid w:val="00090CA8"/>
    <w:rsid w:val="000C1854"/>
    <w:rsid w:val="000D4F8A"/>
    <w:rsid w:val="000F41D9"/>
    <w:rsid w:val="000F5CF9"/>
    <w:rsid w:val="000F7040"/>
    <w:rsid w:val="00105BEA"/>
    <w:rsid w:val="001070EE"/>
    <w:rsid w:val="001179C2"/>
    <w:rsid w:val="001203C8"/>
    <w:rsid w:val="00132C03"/>
    <w:rsid w:val="0013743A"/>
    <w:rsid w:val="001411FE"/>
    <w:rsid w:val="0014425B"/>
    <w:rsid w:val="00144DE7"/>
    <w:rsid w:val="00146980"/>
    <w:rsid w:val="00160E4F"/>
    <w:rsid w:val="001614FC"/>
    <w:rsid w:val="00177310"/>
    <w:rsid w:val="001823EB"/>
    <w:rsid w:val="00182776"/>
    <w:rsid w:val="00183A4C"/>
    <w:rsid w:val="00195FAE"/>
    <w:rsid w:val="001A21A7"/>
    <w:rsid w:val="001A3F30"/>
    <w:rsid w:val="001A6100"/>
    <w:rsid w:val="001A6CBF"/>
    <w:rsid w:val="001C7CF5"/>
    <w:rsid w:val="001D2EA0"/>
    <w:rsid w:val="001E0816"/>
    <w:rsid w:val="001E6225"/>
    <w:rsid w:val="001F668F"/>
    <w:rsid w:val="00216CAE"/>
    <w:rsid w:val="00223E9C"/>
    <w:rsid w:val="002263A4"/>
    <w:rsid w:val="002314AE"/>
    <w:rsid w:val="0023187E"/>
    <w:rsid w:val="0023475A"/>
    <w:rsid w:val="00234B6E"/>
    <w:rsid w:val="002365D3"/>
    <w:rsid w:val="00245478"/>
    <w:rsid w:val="00245E0D"/>
    <w:rsid w:val="002469FA"/>
    <w:rsid w:val="00256175"/>
    <w:rsid w:val="00265B65"/>
    <w:rsid w:val="00270E31"/>
    <w:rsid w:val="00281B53"/>
    <w:rsid w:val="002902EA"/>
    <w:rsid w:val="00291D65"/>
    <w:rsid w:val="002970F6"/>
    <w:rsid w:val="00297E86"/>
    <w:rsid w:val="002A2DB2"/>
    <w:rsid w:val="002A6E36"/>
    <w:rsid w:val="002B0C1E"/>
    <w:rsid w:val="002B3D1B"/>
    <w:rsid w:val="002C3C32"/>
    <w:rsid w:val="002C611D"/>
    <w:rsid w:val="002D0392"/>
    <w:rsid w:val="002D1970"/>
    <w:rsid w:val="002D5255"/>
    <w:rsid w:val="00303FF6"/>
    <w:rsid w:val="00305F00"/>
    <w:rsid w:val="00312E7E"/>
    <w:rsid w:val="003137C1"/>
    <w:rsid w:val="00317161"/>
    <w:rsid w:val="00322BE0"/>
    <w:rsid w:val="003309BB"/>
    <w:rsid w:val="00332566"/>
    <w:rsid w:val="00332A62"/>
    <w:rsid w:val="00346173"/>
    <w:rsid w:val="00352D70"/>
    <w:rsid w:val="00370DBB"/>
    <w:rsid w:val="00371179"/>
    <w:rsid w:val="00375D0E"/>
    <w:rsid w:val="00376168"/>
    <w:rsid w:val="00383CDE"/>
    <w:rsid w:val="00392839"/>
    <w:rsid w:val="003A4074"/>
    <w:rsid w:val="003C7CFE"/>
    <w:rsid w:val="003D22AC"/>
    <w:rsid w:val="003E53B6"/>
    <w:rsid w:val="003E7E67"/>
    <w:rsid w:val="003F2DBA"/>
    <w:rsid w:val="003F570A"/>
    <w:rsid w:val="0041388F"/>
    <w:rsid w:val="00430B72"/>
    <w:rsid w:val="004313B4"/>
    <w:rsid w:val="004329BB"/>
    <w:rsid w:val="00437EB9"/>
    <w:rsid w:val="00437FE9"/>
    <w:rsid w:val="00440CE3"/>
    <w:rsid w:val="00441332"/>
    <w:rsid w:val="004439BA"/>
    <w:rsid w:val="0045137C"/>
    <w:rsid w:val="00455750"/>
    <w:rsid w:val="00464203"/>
    <w:rsid w:val="0046664A"/>
    <w:rsid w:val="00484417"/>
    <w:rsid w:val="004855FB"/>
    <w:rsid w:val="00490B7A"/>
    <w:rsid w:val="00494CB8"/>
    <w:rsid w:val="00497D1F"/>
    <w:rsid w:val="004A2229"/>
    <w:rsid w:val="004A452C"/>
    <w:rsid w:val="004B73A9"/>
    <w:rsid w:val="004D0030"/>
    <w:rsid w:val="004D3DC1"/>
    <w:rsid w:val="004D798E"/>
    <w:rsid w:val="004E17E6"/>
    <w:rsid w:val="004F2C3D"/>
    <w:rsid w:val="004F5A15"/>
    <w:rsid w:val="005006BC"/>
    <w:rsid w:val="00511CCC"/>
    <w:rsid w:val="00531DAD"/>
    <w:rsid w:val="00532491"/>
    <w:rsid w:val="00535F28"/>
    <w:rsid w:val="005412E9"/>
    <w:rsid w:val="00552481"/>
    <w:rsid w:val="00564EFC"/>
    <w:rsid w:val="00590673"/>
    <w:rsid w:val="00592D6F"/>
    <w:rsid w:val="005A4B82"/>
    <w:rsid w:val="005A4CED"/>
    <w:rsid w:val="005B2E6D"/>
    <w:rsid w:val="005C223C"/>
    <w:rsid w:val="005D735F"/>
    <w:rsid w:val="005E2CE0"/>
    <w:rsid w:val="005E6CA2"/>
    <w:rsid w:val="005F1E14"/>
    <w:rsid w:val="0060623C"/>
    <w:rsid w:val="006172A1"/>
    <w:rsid w:val="006250DE"/>
    <w:rsid w:val="00630486"/>
    <w:rsid w:val="00643C1A"/>
    <w:rsid w:val="00654EA5"/>
    <w:rsid w:val="00664720"/>
    <w:rsid w:val="006670A7"/>
    <w:rsid w:val="00670A2C"/>
    <w:rsid w:val="00676091"/>
    <w:rsid w:val="006A463E"/>
    <w:rsid w:val="006A6AEB"/>
    <w:rsid w:val="006B09B3"/>
    <w:rsid w:val="006C546F"/>
    <w:rsid w:val="006C7288"/>
    <w:rsid w:val="006D0C62"/>
    <w:rsid w:val="006D21E6"/>
    <w:rsid w:val="00705389"/>
    <w:rsid w:val="00714CAE"/>
    <w:rsid w:val="00715543"/>
    <w:rsid w:val="00717786"/>
    <w:rsid w:val="00723E42"/>
    <w:rsid w:val="00732A82"/>
    <w:rsid w:val="007422E5"/>
    <w:rsid w:val="0074435D"/>
    <w:rsid w:val="00750F2B"/>
    <w:rsid w:val="00753A1C"/>
    <w:rsid w:val="0075697D"/>
    <w:rsid w:val="00762C82"/>
    <w:rsid w:val="0076344F"/>
    <w:rsid w:val="007649F0"/>
    <w:rsid w:val="00781FF4"/>
    <w:rsid w:val="007820FD"/>
    <w:rsid w:val="00783606"/>
    <w:rsid w:val="007845C0"/>
    <w:rsid w:val="00790333"/>
    <w:rsid w:val="00791C08"/>
    <w:rsid w:val="00796711"/>
    <w:rsid w:val="007A0B7F"/>
    <w:rsid w:val="007B2D0A"/>
    <w:rsid w:val="007C2B63"/>
    <w:rsid w:val="007C6102"/>
    <w:rsid w:val="007E180D"/>
    <w:rsid w:val="007F345B"/>
    <w:rsid w:val="007F54C4"/>
    <w:rsid w:val="00811138"/>
    <w:rsid w:val="00821DD3"/>
    <w:rsid w:val="0082482B"/>
    <w:rsid w:val="00824923"/>
    <w:rsid w:val="00833716"/>
    <w:rsid w:val="00837020"/>
    <w:rsid w:val="00842961"/>
    <w:rsid w:val="00847F28"/>
    <w:rsid w:val="00853960"/>
    <w:rsid w:val="00860DCD"/>
    <w:rsid w:val="00863A24"/>
    <w:rsid w:val="00865B3A"/>
    <w:rsid w:val="00882F81"/>
    <w:rsid w:val="00892C1F"/>
    <w:rsid w:val="008B4F4B"/>
    <w:rsid w:val="008B5B23"/>
    <w:rsid w:val="008B5F63"/>
    <w:rsid w:val="008B7085"/>
    <w:rsid w:val="008C13E7"/>
    <w:rsid w:val="008D0E8F"/>
    <w:rsid w:val="008D3DA9"/>
    <w:rsid w:val="008D5D24"/>
    <w:rsid w:val="008E03F3"/>
    <w:rsid w:val="008F0F19"/>
    <w:rsid w:val="00900F62"/>
    <w:rsid w:val="00901645"/>
    <w:rsid w:val="0090263A"/>
    <w:rsid w:val="00903EC2"/>
    <w:rsid w:val="0091760C"/>
    <w:rsid w:val="009218F2"/>
    <w:rsid w:val="00921903"/>
    <w:rsid w:val="009260B9"/>
    <w:rsid w:val="00933FD5"/>
    <w:rsid w:val="0093401C"/>
    <w:rsid w:val="00936F88"/>
    <w:rsid w:val="009400BC"/>
    <w:rsid w:val="00951084"/>
    <w:rsid w:val="00957D48"/>
    <w:rsid w:val="0097200A"/>
    <w:rsid w:val="009779F5"/>
    <w:rsid w:val="00981CEF"/>
    <w:rsid w:val="00982B75"/>
    <w:rsid w:val="009A6B47"/>
    <w:rsid w:val="009B7377"/>
    <w:rsid w:val="009C047D"/>
    <w:rsid w:val="009C0FEF"/>
    <w:rsid w:val="009C6770"/>
    <w:rsid w:val="009C7A16"/>
    <w:rsid w:val="009D74A5"/>
    <w:rsid w:val="00A03063"/>
    <w:rsid w:val="00A039CB"/>
    <w:rsid w:val="00A062C9"/>
    <w:rsid w:val="00A132DF"/>
    <w:rsid w:val="00A1797B"/>
    <w:rsid w:val="00A22A24"/>
    <w:rsid w:val="00A24D0C"/>
    <w:rsid w:val="00A25680"/>
    <w:rsid w:val="00A2668F"/>
    <w:rsid w:val="00A40215"/>
    <w:rsid w:val="00A45E39"/>
    <w:rsid w:val="00A50DFC"/>
    <w:rsid w:val="00A73066"/>
    <w:rsid w:val="00A9182B"/>
    <w:rsid w:val="00A940B9"/>
    <w:rsid w:val="00A96FAA"/>
    <w:rsid w:val="00AA003B"/>
    <w:rsid w:val="00AA2DE6"/>
    <w:rsid w:val="00AB5055"/>
    <w:rsid w:val="00AD2C37"/>
    <w:rsid w:val="00AD610C"/>
    <w:rsid w:val="00AF3780"/>
    <w:rsid w:val="00B0698F"/>
    <w:rsid w:val="00B07D92"/>
    <w:rsid w:val="00B100A7"/>
    <w:rsid w:val="00B146AC"/>
    <w:rsid w:val="00B20ECC"/>
    <w:rsid w:val="00B258CF"/>
    <w:rsid w:val="00B27CD7"/>
    <w:rsid w:val="00B31290"/>
    <w:rsid w:val="00B31CD6"/>
    <w:rsid w:val="00B336AD"/>
    <w:rsid w:val="00B345A7"/>
    <w:rsid w:val="00B45C96"/>
    <w:rsid w:val="00B5230E"/>
    <w:rsid w:val="00B532F1"/>
    <w:rsid w:val="00B64455"/>
    <w:rsid w:val="00B86D64"/>
    <w:rsid w:val="00B90BE1"/>
    <w:rsid w:val="00B92D7A"/>
    <w:rsid w:val="00B92F90"/>
    <w:rsid w:val="00BA38C5"/>
    <w:rsid w:val="00BC1296"/>
    <w:rsid w:val="00BC5780"/>
    <w:rsid w:val="00BE35FF"/>
    <w:rsid w:val="00C001AD"/>
    <w:rsid w:val="00C00AD1"/>
    <w:rsid w:val="00C06281"/>
    <w:rsid w:val="00C11661"/>
    <w:rsid w:val="00C2026B"/>
    <w:rsid w:val="00C20662"/>
    <w:rsid w:val="00C22F19"/>
    <w:rsid w:val="00C306F0"/>
    <w:rsid w:val="00C32643"/>
    <w:rsid w:val="00C50709"/>
    <w:rsid w:val="00C56AD0"/>
    <w:rsid w:val="00C60008"/>
    <w:rsid w:val="00C67153"/>
    <w:rsid w:val="00C753E4"/>
    <w:rsid w:val="00C81296"/>
    <w:rsid w:val="00CA0022"/>
    <w:rsid w:val="00CA292E"/>
    <w:rsid w:val="00CA5A13"/>
    <w:rsid w:val="00CD5A43"/>
    <w:rsid w:val="00CE647A"/>
    <w:rsid w:val="00CE7500"/>
    <w:rsid w:val="00D116ED"/>
    <w:rsid w:val="00D15BA7"/>
    <w:rsid w:val="00D2333B"/>
    <w:rsid w:val="00D33097"/>
    <w:rsid w:val="00D368FB"/>
    <w:rsid w:val="00D3721C"/>
    <w:rsid w:val="00D4122B"/>
    <w:rsid w:val="00D42656"/>
    <w:rsid w:val="00D51122"/>
    <w:rsid w:val="00D736EA"/>
    <w:rsid w:val="00D77708"/>
    <w:rsid w:val="00D909F6"/>
    <w:rsid w:val="00DA4D2A"/>
    <w:rsid w:val="00DB6271"/>
    <w:rsid w:val="00DC74EF"/>
    <w:rsid w:val="00DE53F9"/>
    <w:rsid w:val="00DE6E1E"/>
    <w:rsid w:val="00DF4C6C"/>
    <w:rsid w:val="00E1468F"/>
    <w:rsid w:val="00E175E5"/>
    <w:rsid w:val="00E410CF"/>
    <w:rsid w:val="00E442F1"/>
    <w:rsid w:val="00E50A67"/>
    <w:rsid w:val="00E857E0"/>
    <w:rsid w:val="00E9676A"/>
    <w:rsid w:val="00EA2DF6"/>
    <w:rsid w:val="00EB1CB8"/>
    <w:rsid w:val="00EB5838"/>
    <w:rsid w:val="00ED39B4"/>
    <w:rsid w:val="00ED3C4C"/>
    <w:rsid w:val="00ED7A0B"/>
    <w:rsid w:val="00EE10E8"/>
    <w:rsid w:val="00EE1B32"/>
    <w:rsid w:val="00EF2129"/>
    <w:rsid w:val="00EF3F93"/>
    <w:rsid w:val="00F0517D"/>
    <w:rsid w:val="00F06533"/>
    <w:rsid w:val="00F14D79"/>
    <w:rsid w:val="00F15091"/>
    <w:rsid w:val="00F16AFA"/>
    <w:rsid w:val="00F20B39"/>
    <w:rsid w:val="00F34AC6"/>
    <w:rsid w:val="00F4632C"/>
    <w:rsid w:val="00F53AF2"/>
    <w:rsid w:val="00F80730"/>
    <w:rsid w:val="00F862DB"/>
    <w:rsid w:val="00FA425A"/>
    <w:rsid w:val="00FA59FA"/>
    <w:rsid w:val="00FA7AE8"/>
    <w:rsid w:val="00FB1D9E"/>
    <w:rsid w:val="00FB41E2"/>
    <w:rsid w:val="00FC5EE3"/>
    <w:rsid w:val="00FD0FD1"/>
    <w:rsid w:val="00FD584A"/>
    <w:rsid w:val="00FD6677"/>
    <w:rsid w:val="00FD6B6E"/>
    <w:rsid w:val="00FE2409"/>
    <w:rsid w:val="00FE4A95"/>
    <w:rsid w:val="00FF04BE"/>
    <w:rsid w:val="00FF22BA"/>
    <w:rsid w:val="0562577E"/>
    <w:rsid w:val="0EB5330D"/>
    <w:rsid w:val="13C6133B"/>
    <w:rsid w:val="14E176DB"/>
    <w:rsid w:val="158035FD"/>
    <w:rsid w:val="16B82596"/>
    <w:rsid w:val="19E1E580"/>
    <w:rsid w:val="244574A2"/>
    <w:rsid w:val="29CFD125"/>
    <w:rsid w:val="2D6B8580"/>
    <w:rsid w:val="31D2C3AE"/>
    <w:rsid w:val="342616E7"/>
    <w:rsid w:val="34C4D609"/>
    <w:rsid w:val="34E48A2B"/>
    <w:rsid w:val="3A4F328C"/>
    <w:rsid w:val="4269870A"/>
    <w:rsid w:val="4286AA7B"/>
    <w:rsid w:val="4AEE4815"/>
    <w:rsid w:val="5A25485A"/>
    <w:rsid w:val="5B28B28D"/>
    <w:rsid w:val="5C890D1C"/>
    <w:rsid w:val="6CAB7E27"/>
    <w:rsid w:val="71F0E3BB"/>
    <w:rsid w:val="7262A55B"/>
    <w:rsid w:val="79F3D6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7D3D1F"/>
  <w15:chartTrackingRefBased/>
  <w15:docId w15:val="{1A41391D-D315-4474-B7B7-C27E4034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720"/>
  </w:style>
  <w:style w:type="paragraph" w:styleId="Heading1">
    <w:name w:val="heading 1"/>
    <w:basedOn w:val="Normal"/>
    <w:next w:val="Normal"/>
    <w:link w:val="Heading1Char"/>
    <w:uiPriority w:val="9"/>
    <w:qFormat/>
    <w:rsid w:val="009218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18F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65B3A"/>
    <w:rPr>
      <w:sz w:val="20"/>
      <w:szCs w:val="20"/>
    </w:rPr>
  </w:style>
  <w:style w:type="character" w:customStyle="1" w:styleId="EndnoteTextChar">
    <w:name w:val="Endnote Text Char"/>
    <w:basedOn w:val="DefaultParagraphFont"/>
    <w:link w:val="EndnoteText"/>
    <w:uiPriority w:val="99"/>
    <w:semiHidden/>
    <w:rsid w:val="00865B3A"/>
    <w:rPr>
      <w:sz w:val="20"/>
      <w:szCs w:val="20"/>
    </w:rPr>
  </w:style>
  <w:style w:type="character" w:styleId="EndnoteReference">
    <w:name w:val="endnote reference"/>
    <w:basedOn w:val="DefaultParagraphFont"/>
    <w:uiPriority w:val="99"/>
    <w:semiHidden/>
    <w:unhideWhenUsed/>
    <w:rsid w:val="00865B3A"/>
    <w:rPr>
      <w:vertAlign w:val="superscript"/>
    </w:rPr>
  </w:style>
  <w:style w:type="table" w:styleId="TableGrid">
    <w:name w:val="Table Grid"/>
    <w:basedOn w:val="TableNormal"/>
    <w:uiPriority w:val="39"/>
    <w:rsid w:val="00383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7377"/>
    <w:pPr>
      <w:tabs>
        <w:tab w:val="center" w:pos="4513"/>
        <w:tab w:val="right" w:pos="9026"/>
      </w:tabs>
    </w:pPr>
  </w:style>
  <w:style w:type="character" w:customStyle="1" w:styleId="HeaderChar">
    <w:name w:val="Header Char"/>
    <w:basedOn w:val="DefaultParagraphFont"/>
    <w:link w:val="Header"/>
    <w:uiPriority w:val="99"/>
    <w:rsid w:val="009B7377"/>
  </w:style>
  <w:style w:type="paragraph" w:styleId="Footer">
    <w:name w:val="footer"/>
    <w:basedOn w:val="Normal"/>
    <w:link w:val="FooterChar"/>
    <w:uiPriority w:val="99"/>
    <w:unhideWhenUsed/>
    <w:rsid w:val="009B7377"/>
    <w:pPr>
      <w:tabs>
        <w:tab w:val="center" w:pos="4513"/>
        <w:tab w:val="right" w:pos="9026"/>
      </w:tabs>
    </w:pPr>
  </w:style>
  <w:style w:type="character" w:customStyle="1" w:styleId="FooterChar">
    <w:name w:val="Footer Char"/>
    <w:basedOn w:val="DefaultParagraphFont"/>
    <w:link w:val="Footer"/>
    <w:uiPriority w:val="99"/>
    <w:rsid w:val="009B7377"/>
  </w:style>
  <w:style w:type="character" w:styleId="CommentReference">
    <w:name w:val="annotation reference"/>
    <w:basedOn w:val="DefaultParagraphFont"/>
    <w:uiPriority w:val="99"/>
    <w:semiHidden/>
    <w:unhideWhenUsed/>
    <w:rsid w:val="00E9676A"/>
    <w:rPr>
      <w:sz w:val="16"/>
      <w:szCs w:val="16"/>
    </w:rPr>
  </w:style>
  <w:style w:type="paragraph" w:styleId="CommentText">
    <w:name w:val="annotation text"/>
    <w:basedOn w:val="Normal"/>
    <w:link w:val="CommentTextChar"/>
    <w:uiPriority w:val="99"/>
    <w:semiHidden/>
    <w:unhideWhenUsed/>
    <w:rsid w:val="00E9676A"/>
    <w:rPr>
      <w:sz w:val="20"/>
      <w:szCs w:val="20"/>
    </w:rPr>
  </w:style>
  <w:style w:type="character" w:customStyle="1" w:styleId="CommentTextChar">
    <w:name w:val="Comment Text Char"/>
    <w:basedOn w:val="DefaultParagraphFont"/>
    <w:link w:val="CommentText"/>
    <w:uiPriority w:val="99"/>
    <w:semiHidden/>
    <w:rsid w:val="00E9676A"/>
    <w:rPr>
      <w:sz w:val="20"/>
      <w:szCs w:val="20"/>
    </w:rPr>
  </w:style>
  <w:style w:type="paragraph" w:styleId="CommentSubject">
    <w:name w:val="annotation subject"/>
    <w:basedOn w:val="CommentText"/>
    <w:next w:val="CommentText"/>
    <w:link w:val="CommentSubjectChar"/>
    <w:uiPriority w:val="99"/>
    <w:semiHidden/>
    <w:unhideWhenUsed/>
    <w:rsid w:val="00E9676A"/>
    <w:rPr>
      <w:b/>
      <w:bCs/>
    </w:rPr>
  </w:style>
  <w:style w:type="character" w:customStyle="1" w:styleId="CommentSubjectChar">
    <w:name w:val="Comment Subject Char"/>
    <w:basedOn w:val="CommentTextChar"/>
    <w:link w:val="CommentSubject"/>
    <w:uiPriority w:val="99"/>
    <w:semiHidden/>
    <w:rsid w:val="00E9676A"/>
    <w:rPr>
      <w:b/>
      <w:bCs/>
      <w:sz w:val="20"/>
      <w:szCs w:val="20"/>
    </w:rPr>
  </w:style>
  <w:style w:type="paragraph" w:styleId="BalloonText">
    <w:name w:val="Balloon Text"/>
    <w:basedOn w:val="Normal"/>
    <w:link w:val="BalloonTextChar"/>
    <w:uiPriority w:val="99"/>
    <w:semiHidden/>
    <w:unhideWhenUsed/>
    <w:rsid w:val="00E96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76A"/>
    <w:rPr>
      <w:rFonts w:ascii="Segoe UI" w:hAnsi="Segoe UI" w:cs="Segoe UI"/>
      <w:sz w:val="18"/>
      <w:szCs w:val="18"/>
    </w:rPr>
  </w:style>
  <w:style w:type="character" w:styleId="Strong">
    <w:name w:val="Strong"/>
    <w:basedOn w:val="DefaultParagraphFont"/>
    <w:uiPriority w:val="22"/>
    <w:qFormat/>
    <w:rsid w:val="00305F00"/>
    <w:rPr>
      <w:b/>
      <w:bCs/>
    </w:rPr>
  </w:style>
  <w:style w:type="paragraph" w:styleId="ListParagraph">
    <w:name w:val="List Paragraph"/>
    <w:basedOn w:val="Normal"/>
    <w:uiPriority w:val="34"/>
    <w:qFormat/>
    <w:rsid w:val="001179C2"/>
    <w:pPr>
      <w:ind w:left="720"/>
      <w:contextualSpacing/>
    </w:pPr>
  </w:style>
  <w:style w:type="paragraph" w:styleId="Title">
    <w:name w:val="Title"/>
    <w:basedOn w:val="Normal"/>
    <w:next w:val="Normal"/>
    <w:link w:val="TitleChar"/>
    <w:uiPriority w:val="10"/>
    <w:qFormat/>
    <w:rsid w:val="009218F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18F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218F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218F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480567">
      <w:bodyDiv w:val="1"/>
      <w:marLeft w:val="0"/>
      <w:marRight w:val="0"/>
      <w:marTop w:val="0"/>
      <w:marBottom w:val="0"/>
      <w:divBdr>
        <w:top w:val="none" w:sz="0" w:space="0" w:color="auto"/>
        <w:left w:val="none" w:sz="0" w:space="0" w:color="auto"/>
        <w:bottom w:val="none" w:sz="0" w:space="0" w:color="auto"/>
        <w:right w:val="none" w:sz="0" w:space="0" w:color="auto"/>
      </w:divBdr>
    </w:div>
    <w:div w:id="81772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https://allerdalebc.sharepoint.com/sites/HR/Shared%20Documents/General/Personnel/New%20Structure/Reports/Gender%20Pay%20Gap%20Report/Gender%20Pay%20Gap%202022/Copy%20of%20PAYPART1%20-%20Gender%20Pay%20Gap%20March%2020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allerdalebc.sharepoint.com/sites/HR/Shared%20Documents/General/Personnel/New%20Structure/Reports/Gender%20Pay%20Gap%20Report/Gender%20Pay%20Gap%202022/Copy%20of%20PAYPART1%20-%20Gender%20Pay%20Gap%20March%2020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allerdalebc.sharepoint.com/sites/HR/Shared%20Documents/General/Personnel/New%20Structure/Reports/Gender%20Pay%20Gap%20Report/Gender%20Pay%20Gap%202022/Copy%20of%20PAYPART1%20-%20Gender%20Pay%20Gap%20March%202022.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Gender Breakdown of</a:t>
            </a:r>
            <a:r>
              <a:rPr lang="en-GB" baseline="0"/>
              <a:t> the Workforce</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FF00"/>
              </a:solidFill>
              <a:ln>
                <a:noFill/>
              </a:ln>
              <a:effectLst/>
            </c:spPr>
            <c:extLst>
              <c:ext xmlns:c16="http://schemas.microsoft.com/office/drawing/2014/chart" uri="{C3380CC4-5D6E-409C-BE32-E72D297353CC}">
                <c16:uniqueId val="{00000001-2FA7-4154-8FC2-76C26A763D73}"/>
              </c:ext>
            </c:extLst>
          </c:dPt>
          <c:dPt>
            <c:idx val="1"/>
            <c:invertIfNegative val="0"/>
            <c:bubble3D val="0"/>
            <c:spPr>
              <a:solidFill>
                <a:srgbClr val="FFC000"/>
              </a:solidFill>
              <a:ln>
                <a:noFill/>
              </a:ln>
              <a:effectLst/>
            </c:spPr>
            <c:extLst>
              <c:ext xmlns:c16="http://schemas.microsoft.com/office/drawing/2014/chart" uri="{C3380CC4-5D6E-409C-BE32-E72D297353CC}">
                <c16:uniqueId val="{00000003-2FA7-4154-8FC2-76C26A763D7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MEAN!$B$15:$B$16</c:f>
              <c:strCache>
                <c:ptCount val="2"/>
                <c:pt idx="0">
                  <c:v>Male</c:v>
                </c:pt>
                <c:pt idx="1">
                  <c:v>Female</c:v>
                </c:pt>
              </c:strCache>
            </c:strRef>
          </c:cat>
          <c:val>
            <c:numRef>
              <c:f>MEAN!$C$15:$C$16</c:f>
              <c:numCache>
                <c:formatCode>0%</c:formatCode>
                <c:ptCount val="2"/>
                <c:pt idx="0">
                  <c:v>0.34</c:v>
                </c:pt>
                <c:pt idx="1">
                  <c:v>0.66</c:v>
                </c:pt>
              </c:numCache>
            </c:numRef>
          </c:val>
          <c:extLst>
            <c:ext xmlns:c16="http://schemas.microsoft.com/office/drawing/2014/chart" uri="{C3380CC4-5D6E-409C-BE32-E72D297353CC}">
              <c16:uniqueId val="{00000004-2FA7-4154-8FC2-76C26A763D73}"/>
            </c:ext>
          </c:extLst>
        </c:ser>
        <c:dLbls>
          <c:showLegendKey val="0"/>
          <c:showVal val="0"/>
          <c:showCatName val="0"/>
          <c:showSerName val="0"/>
          <c:showPercent val="0"/>
          <c:showBubbleSize val="0"/>
        </c:dLbls>
        <c:gapWidth val="219"/>
        <c:overlap val="-27"/>
        <c:axId val="864141992"/>
        <c:axId val="864142648"/>
      </c:barChart>
      <c:catAx>
        <c:axId val="864141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4142648"/>
        <c:crosses val="autoZero"/>
        <c:auto val="1"/>
        <c:lblAlgn val="ctr"/>
        <c:lblOffset val="100"/>
        <c:noMultiLvlLbl val="0"/>
      </c:catAx>
      <c:valAx>
        <c:axId val="86414264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4141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Gender Breakdown of Part-time and Full-time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MEAN!$C$47</c:f>
              <c:strCache>
                <c:ptCount val="1"/>
                <c:pt idx="0">
                  <c:v>Part-time</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MEAN!$B$48:$B$49</c:f>
              <c:strCache>
                <c:ptCount val="2"/>
                <c:pt idx="0">
                  <c:v>Male</c:v>
                </c:pt>
                <c:pt idx="1">
                  <c:v>Female</c:v>
                </c:pt>
              </c:strCache>
            </c:strRef>
          </c:cat>
          <c:val>
            <c:numRef>
              <c:f>MEAN!$C$48:$C$49</c:f>
              <c:numCache>
                <c:formatCode>0%</c:formatCode>
                <c:ptCount val="2"/>
                <c:pt idx="0">
                  <c:v>0.03</c:v>
                </c:pt>
                <c:pt idx="1">
                  <c:v>0.23</c:v>
                </c:pt>
              </c:numCache>
            </c:numRef>
          </c:val>
          <c:extLst>
            <c:ext xmlns:c16="http://schemas.microsoft.com/office/drawing/2014/chart" uri="{C3380CC4-5D6E-409C-BE32-E72D297353CC}">
              <c16:uniqueId val="{00000000-6BF9-4824-A461-C1240F3E235E}"/>
            </c:ext>
          </c:extLst>
        </c:ser>
        <c:ser>
          <c:idx val="1"/>
          <c:order val="1"/>
          <c:tx>
            <c:strRef>
              <c:f>MEAN!$D$47</c:f>
              <c:strCache>
                <c:ptCount val="1"/>
                <c:pt idx="0">
                  <c:v>Full-time</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MEAN!$B$48:$B$49</c:f>
              <c:strCache>
                <c:ptCount val="2"/>
                <c:pt idx="0">
                  <c:v>Male</c:v>
                </c:pt>
                <c:pt idx="1">
                  <c:v>Female</c:v>
                </c:pt>
              </c:strCache>
            </c:strRef>
          </c:cat>
          <c:val>
            <c:numRef>
              <c:f>MEAN!$D$48:$D$49</c:f>
              <c:numCache>
                <c:formatCode>0%</c:formatCode>
                <c:ptCount val="2"/>
                <c:pt idx="0">
                  <c:v>0.31</c:v>
                </c:pt>
                <c:pt idx="1">
                  <c:v>0.43</c:v>
                </c:pt>
              </c:numCache>
            </c:numRef>
          </c:val>
          <c:extLst>
            <c:ext xmlns:c16="http://schemas.microsoft.com/office/drawing/2014/chart" uri="{C3380CC4-5D6E-409C-BE32-E72D297353CC}">
              <c16:uniqueId val="{00000001-6BF9-4824-A461-C1240F3E235E}"/>
            </c:ext>
          </c:extLst>
        </c:ser>
        <c:dLbls>
          <c:showLegendKey val="0"/>
          <c:showVal val="0"/>
          <c:showCatName val="0"/>
          <c:showSerName val="0"/>
          <c:showPercent val="0"/>
          <c:showBubbleSize val="0"/>
        </c:dLbls>
        <c:gapWidth val="219"/>
        <c:overlap val="-27"/>
        <c:axId val="893679552"/>
        <c:axId val="893680864"/>
      </c:barChart>
      <c:catAx>
        <c:axId val="893679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3680864"/>
        <c:crosses val="autoZero"/>
        <c:auto val="1"/>
        <c:lblAlgn val="ctr"/>
        <c:lblOffset val="100"/>
        <c:noMultiLvlLbl val="0"/>
      </c:catAx>
      <c:valAx>
        <c:axId val="893680864"/>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3679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Mean Hourly Rate of Pay Comparison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MEAN!$B$5</c:f>
              <c:strCache>
                <c:ptCount val="1"/>
                <c:pt idx="0">
                  <c:v>Male</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MEAN!$C$4:$H$4</c:f>
              <c:strCache>
                <c:ptCount val="6"/>
                <c:pt idx="0">
                  <c:v>2017 (19%)</c:v>
                </c:pt>
                <c:pt idx="1">
                  <c:v>2018 (15%)</c:v>
                </c:pt>
                <c:pt idx="2">
                  <c:v>2019 (17%)</c:v>
                </c:pt>
                <c:pt idx="3">
                  <c:v>2020 (16%)</c:v>
                </c:pt>
                <c:pt idx="4">
                  <c:v>2021 (15%)</c:v>
                </c:pt>
                <c:pt idx="5">
                  <c:v>2022 (9.5%)</c:v>
                </c:pt>
              </c:strCache>
            </c:strRef>
          </c:cat>
          <c:val>
            <c:numRef>
              <c:f>MEAN!$C$5:$H$5</c:f>
              <c:numCache>
                <c:formatCode>_("£"* #,##0.00_);_("£"* \(#,##0.00\);_("£"* "-"??_);_(@_)</c:formatCode>
                <c:ptCount val="6"/>
                <c:pt idx="0">
                  <c:v>16.059999999999999</c:v>
                </c:pt>
                <c:pt idx="1">
                  <c:v>15.53</c:v>
                </c:pt>
                <c:pt idx="2">
                  <c:v>16.78</c:v>
                </c:pt>
                <c:pt idx="3">
                  <c:v>16.96</c:v>
                </c:pt>
                <c:pt idx="4">
                  <c:v>17.36</c:v>
                </c:pt>
                <c:pt idx="5">
                  <c:v>18.03</c:v>
                </c:pt>
              </c:numCache>
            </c:numRef>
          </c:val>
          <c:extLst>
            <c:ext xmlns:c16="http://schemas.microsoft.com/office/drawing/2014/chart" uri="{C3380CC4-5D6E-409C-BE32-E72D297353CC}">
              <c16:uniqueId val="{00000000-F160-4918-A069-EAF64B79E7A7}"/>
            </c:ext>
          </c:extLst>
        </c:ser>
        <c:ser>
          <c:idx val="1"/>
          <c:order val="1"/>
          <c:tx>
            <c:strRef>
              <c:f>MEAN!$B$6</c:f>
              <c:strCache>
                <c:ptCount val="1"/>
                <c:pt idx="0">
                  <c:v>Female</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MEAN!$C$4:$H$4</c:f>
              <c:strCache>
                <c:ptCount val="6"/>
                <c:pt idx="0">
                  <c:v>2017 (19%)</c:v>
                </c:pt>
                <c:pt idx="1">
                  <c:v>2018 (15%)</c:v>
                </c:pt>
                <c:pt idx="2">
                  <c:v>2019 (17%)</c:v>
                </c:pt>
                <c:pt idx="3">
                  <c:v>2020 (16%)</c:v>
                </c:pt>
                <c:pt idx="4">
                  <c:v>2021 (15%)</c:v>
                </c:pt>
                <c:pt idx="5">
                  <c:v>2022 (9.5%)</c:v>
                </c:pt>
              </c:strCache>
            </c:strRef>
          </c:cat>
          <c:val>
            <c:numRef>
              <c:f>MEAN!$C$6:$H$6</c:f>
              <c:numCache>
                <c:formatCode>_("£"* #,##0.00_);_("£"* \(#,##0.00\);_("£"* "-"??_);_(@_)</c:formatCode>
                <c:ptCount val="6"/>
                <c:pt idx="0">
                  <c:v>13.05</c:v>
                </c:pt>
                <c:pt idx="1">
                  <c:v>13.27</c:v>
                </c:pt>
                <c:pt idx="2">
                  <c:v>13.81</c:v>
                </c:pt>
                <c:pt idx="3">
                  <c:v>14.26</c:v>
                </c:pt>
                <c:pt idx="4">
                  <c:v>14.69</c:v>
                </c:pt>
                <c:pt idx="5">
                  <c:v>16.309999999999999</c:v>
                </c:pt>
              </c:numCache>
            </c:numRef>
          </c:val>
          <c:extLst>
            <c:ext xmlns:c16="http://schemas.microsoft.com/office/drawing/2014/chart" uri="{C3380CC4-5D6E-409C-BE32-E72D297353CC}">
              <c16:uniqueId val="{00000001-F160-4918-A069-EAF64B79E7A7}"/>
            </c:ext>
          </c:extLst>
        </c:ser>
        <c:dLbls>
          <c:showLegendKey val="0"/>
          <c:showVal val="0"/>
          <c:showCatName val="0"/>
          <c:showSerName val="0"/>
          <c:showPercent val="0"/>
          <c:showBubbleSize val="0"/>
        </c:dLbls>
        <c:gapWidth val="219"/>
        <c:overlap val="-27"/>
        <c:axId val="1273857552"/>
        <c:axId val="1273864440"/>
      </c:barChart>
      <c:catAx>
        <c:axId val="1273857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3864440"/>
        <c:crosses val="autoZero"/>
        <c:auto val="1"/>
        <c:lblAlgn val="ctr"/>
        <c:lblOffset val="100"/>
        <c:noMultiLvlLbl val="0"/>
      </c:catAx>
      <c:valAx>
        <c:axId val="1273864440"/>
        <c:scaling>
          <c:orientation val="minMax"/>
        </c:scaling>
        <c:delete val="0"/>
        <c:axPos val="l"/>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3857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35a99b-cb56-4193-9bce-b35620bba419"/>
    <lcf76f155ced4ddcb4097134ff3c332f xmlns="a46265d2-7525-4b38-a25e-fe244673536e">
      <Terms xmlns="http://schemas.microsoft.com/office/infopath/2007/PartnerControls"/>
    </lcf76f155ced4ddcb4097134ff3c332f>
    <SharedWithUsers xmlns="5635a99b-cb56-4193-9bce-b35620bba419">
      <UserInfo>
        <DisplayName>Hardy, Nik</DisplayName>
        <AccountId>20</AccountId>
        <AccountType/>
      </UserInfo>
      <UserInfo>
        <DisplayName>FitzGerald, Alex</DisplayName>
        <AccountId>69</AccountId>
        <AccountType/>
      </UserInfo>
      <UserInfo>
        <DisplayName>Eccles, Kelly</DisplayName>
        <AccountId>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295E4AD5D4484DAC424DF1032E4655" ma:contentTypeVersion="15" ma:contentTypeDescription="Create a new document." ma:contentTypeScope="" ma:versionID="dea6a82dc93dd36b7129103436d15241">
  <xsd:schema xmlns:xsd="http://www.w3.org/2001/XMLSchema" xmlns:xs="http://www.w3.org/2001/XMLSchema" xmlns:p="http://schemas.microsoft.com/office/2006/metadata/properties" xmlns:ns2="a46265d2-7525-4b38-a25e-fe244673536e" xmlns:ns3="5635a99b-cb56-4193-9bce-b35620bba419" targetNamespace="http://schemas.microsoft.com/office/2006/metadata/properties" ma:root="true" ma:fieldsID="be3c32ca2ebd5cfa93c40c541f46fef8" ns2:_="" ns3:_="">
    <xsd:import namespace="a46265d2-7525-4b38-a25e-fe244673536e"/>
    <xsd:import namespace="5635a99b-cb56-4193-9bce-b35620bba4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265d2-7525-4b38-a25e-fe24467353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ddb74a4-19fb-4e8b-81a5-077ce9b76e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35a99b-cb56-4193-9bce-b35620bba41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1039a8e-112c-44e5-aa43-4a3c321413fa}" ma:internalName="TaxCatchAll" ma:showField="CatchAllData" ma:web="5635a99b-cb56-4193-9bce-b35620bba4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459C5-D195-432B-BE1D-7AF29667BFC0}">
  <ds:schemaRefs>
    <ds:schemaRef ds:uri="http://schemas.openxmlformats.org/package/2006/metadata/core-properties"/>
    <ds:schemaRef ds:uri="http://schemas.microsoft.com/office/2006/documentManagement/types"/>
    <ds:schemaRef ds:uri="http://schemas.microsoft.com/office/infopath/2007/PartnerControls"/>
    <ds:schemaRef ds:uri="5635a99b-cb56-4193-9bce-b35620bba419"/>
    <ds:schemaRef ds:uri="http://purl.org/dc/elements/1.1/"/>
    <ds:schemaRef ds:uri="http://schemas.microsoft.com/office/2006/metadata/properties"/>
    <ds:schemaRef ds:uri="a46265d2-7525-4b38-a25e-fe244673536e"/>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0924FBFD-48C2-482F-BB3F-F40DA0BBA0ED}">
  <ds:schemaRefs>
    <ds:schemaRef ds:uri="http://schemas.microsoft.com/sharepoint/v3/contenttype/forms"/>
  </ds:schemaRefs>
</ds:datastoreItem>
</file>

<file path=customXml/itemProps3.xml><?xml version="1.0" encoding="utf-8"?>
<ds:datastoreItem xmlns:ds="http://schemas.openxmlformats.org/officeDocument/2006/customXml" ds:itemID="{58F0D0BB-644B-4F93-A11A-3E4BE7508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265d2-7525-4b38-a25e-fe244673536e"/>
    <ds:schemaRef ds:uri="5635a99b-cb56-4193-9bce-b35620bba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F09716-E9CB-4F76-BD8C-A99C05837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2278</Words>
  <Characters>12986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Allerdale Borough Council</Company>
  <LinksUpToDate>false</LinksUpToDate>
  <CharactersWithSpaces>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Kathryn</dc:creator>
  <cp:keywords/>
  <dc:description/>
  <cp:lastModifiedBy>FitzGerald, Alex</cp:lastModifiedBy>
  <cp:revision>3</cp:revision>
  <cp:lastPrinted>2022-05-26T01:30:00Z</cp:lastPrinted>
  <dcterms:created xsi:type="dcterms:W3CDTF">2022-06-13T13:21:00Z</dcterms:created>
  <dcterms:modified xsi:type="dcterms:W3CDTF">2022-06-13T13:53:00Z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0x010100B0295E4AD5D4484DAC424DF1032E4655</vt:lpwstr>
  </property>
  <property fmtid="{D5CDD505-2E9C-101B-9397-08002B2CF9AE}" pid="3" name="MediaServiceImageTags">
    <vt:lpwstr/>
  </property>
</Properties>
</file>